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numPr>
          <w:ilvl w:val="0"/>
          <w:numId w:val="1"/>
        </w:numPr>
        <w:ind w:firstLineChars="0"/>
        <w:rPr>
          <w:rFonts w:ascii="黑体" w:eastAsia="黑体"/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rFonts w:hint="eastAsia" w:ascii="黑体" w:eastAsia="黑体"/>
          <w:b/>
          <w:bCs/>
          <w:sz w:val="32"/>
          <w:szCs w:val="32"/>
          <w:u w:val="single"/>
        </w:rPr>
        <w:t>汉语论文格式</w:t>
      </w:r>
    </w:p>
    <w:p>
      <w:pPr>
        <w:pStyle w:val="14"/>
        <w:ind w:left="360" w:firstLine="0" w:firstLineChars="0"/>
        <w:rPr>
          <w:rFonts w:ascii="黑体" w:eastAsia="黑体"/>
          <w:b/>
          <w:bCs/>
          <w:sz w:val="32"/>
          <w:szCs w:val="32"/>
          <w:u w:val="single"/>
        </w:rPr>
      </w:pP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commentRangeStart w:id="0"/>
      <w:r>
        <w:rPr>
          <w:rFonts w:hint="eastAsia" w:ascii="黑体" w:hAnsi="黑体" w:eastAsia="黑体" w:cs="黑体"/>
          <w:b/>
          <w:bCs/>
          <w:sz w:val="28"/>
          <w:szCs w:val="28"/>
        </w:rPr>
        <w:t>基于《。。。》</w:t>
      </w:r>
      <w:r>
        <w:rPr>
          <w:rFonts w:ascii="Times New Roman" w:hAnsi="Times New Roman" w:eastAsia="黑体" w:cs="Times New Roman"/>
          <w:b/>
          <w:bCs/>
          <w:sz w:val="28"/>
          <w:szCs w:val="28"/>
        </w:rPr>
        <w:t>……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教学模式初探</w:t>
      </w:r>
      <w:r>
        <w:rPr>
          <w:rStyle w:val="12"/>
          <w:rFonts w:ascii="黑体" w:hAnsi="黑体" w:eastAsia="黑体" w:cs="黑体"/>
          <w:b/>
          <w:bCs/>
          <w:sz w:val="28"/>
          <w:szCs w:val="28"/>
        </w:rPr>
        <w:footnoteReference w:id="0"/>
      </w:r>
      <w:commentRangeEnd w:id="0"/>
      <w:r>
        <w:rPr>
          <w:rStyle w:val="11"/>
        </w:rPr>
        <w:commentReference w:id="0"/>
      </w:r>
    </w:p>
    <w:p>
      <w:pPr>
        <w:jc w:val="center"/>
        <w:rPr>
          <w:rFonts w:ascii="Times New Roman" w:hAnsi="Times New Roman" w:eastAsia="黑体" w:cs="Times New Roman"/>
          <w:b/>
          <w:bCs/>
          <w:sz w:val="28"/>
          <w:szCs w:val="28"/>
        </w:rPr>
      </w:pPr>
      <w:commentRangeStart w:id="1"/>
      <w:r>
        <w:rPr>
          <w:rFonts w:ascii="Times New Roman" w:hAnsi="Times New Roman" w:eastAsia="黑体" w:cs="Times New Roman"/>
          <w:b/>
          <w:bCs/>
          <w:sz w:val="28"/>
          <w:szCs w:val="28"/>
        </w:rPr>
        <w:t xml:space="preserve">Discussion on 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</w:rPr>
        <w:t xml:space="preserve">Teaching Mode of </w:t>
      </w:r>
      <w:r>
        <w:rPr>
          <w:rFonts w:hint="eastAsia" w:ascii="Times New Roman" w:hAnsi="Times New Roman" w:eastAsia="黑体" w:cs="Times New Roman"/>
          <w:b/>
          <w:bCs/>
          <w:i/>
          <w:sz w:val="28"/>
          <w:szCs w:val="28"/>
        </w:rPr>
        <w:t>Communication</w:t>
      </w:r>
      <w:r>
        <w:rPr>
          <w:rFonts w:ascii="Times New Roman" w:hAnsi="Times New Roman" w:eastAsia="黑体" w:cs="Times New Roman"/>
          <w:b/>
          <w:bCs/>
          <w:sz w:val="28"/>
          <w:szCs w:val="28"/>
        </w:rPr>
        <w:t>…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</w:rPr>
        <w:t>Based on PBL</w:t>
      </w:r>
      <w:commentRangeEnd w:id="1"/>
      <w:r>
        <w:rPr>
          <w:rStyle w:val="11"/>
        </w:rPr>
        <w:commentReference w:id="1"/>
      </w:r>
    </w:p>
    <w:p>
      <w:pPr>
        <w:jc w:val="center"/>
        <w:rPr>
          <w:rFonts w:ascii="仿宋_GB2312" w:eastAsia="仿宋_GB2312"/>
          <w:sz w:val="18"/>
          <w:szCs w:val="18"/>
        </w:rPr>
      </w:pPr>
      <w:commentRangeStart w:id="2"/>
      <w:r>
        <w:rPr>
          <w:rFonts w:hint="eastAsia" w:ascii="仿宋_GB2312" w:eastAsia="仿宋_GB2312"/>
          <w:sz w:val="18"/>
          <w:szCs w:val="18"/>
        </w:rPr>
        <w:t>北京。。。大学。。。学院  李。。赵。。。</w:t>
      </w:r>
    </w:p>
    <w:p>
      <w:pPr>
        <w:jc w:val="center"/>
        <w:rPr>
          <w:rFonts w:ascii="仿宋_GB2312" w:eastAsia="仿宋_GB2312"/>
          <w:sz w:val="18"/>
          <w:szCs w:val="18"/>
        </w:rPr>
      </w:pPr>
      <w:r>
        <w:rPr>
          <w:rFonts w:hint="eastAsia" w:ascii="Times New Roman" w:hAnsi="Times New Roman" w:eastAsia="仿宋_GB2312" w:cs="Times New Roman"/>
          <w:sz w:val="18"/>
          <w:szCs w:val="18"/>
        </w:rPr>
        <w:t>沃。。。德大学</w:t>
      </w:r>
      <w:r>
        <w:rPr>
          <w:rFonts w:ascii="Times New Roman" w:hAnsi="Times New Roman" w:eastAsia="仿宋_GB2312" w:cs="Times New Roman"/>
          <w:sz w:val="18"/>
          <w:szCs w:val="18"/>
        </w:rPr>
        <w:t xml:space="preserve"> </w:t>
      </w:r>
      <w:r>
        <w:rPr>
          <w:rFonts w:hint="eastAsia" w:ascii="Times New Roman" w:hAnsi="Times New Roman" w:eastAsia="仿宋_GB2312" w:cs="Times New Roman"/>
          <w:sz w:val="18"/>
          <w:szCs w:val="18"/>
        </w:rPr>
        <w:t xml:space="preserve"> </w:t>
      </w:r>
      <w:r>
        <w:rPr>
          <w:rFonts w:ascii="Times New Roman" w:hAnsi="Times New Roman" w:eastAsia="仿宋_GB2312" w:cs="Times New Roman"/>
          <w:sz w:val="18"/>
          <w:szCs w:val="18"/>
        </w:rPr>
        <w:t>Kinnison</w:t>
      </w:r>
    </w:p>
    <w:commentRangeEnd w:id="2"/>
    <w:p>
      <w:pPr>
        <w:jc w:val="center"/>
        <w:rPr>
          <w:rFonts w:ascii="仿宋_GB2312" w:eastAsia="仿宋_GB2312"/>
          <w:szCs w:val="21"/>
        </w:rPr>
      </w:pPr>
      <w:r>
        <w:rPr>
          <w:rStyle w:val="11"/>
        </w:rPr>
        <w:commentReference w:id="2"/>
      </w:r>
    </w:p>
    <w:p>
      <w:pPr>
        <w:rPr>
          <w:rFonts w:asciiTheme="minorEastAsia" w:hAnsiTheme="minorEastAsia" w:cstheme="minorEastAsia"/>
          <w:sz w:val="18"/>
          <w:szCs w:val="18"/>
        </w:rPr>
      </w:pPr>
      <w:commentRangeStart w:id="3"/>
      <w:r>
        <w:rPr>
          <w:rFonts w:hint="eastAsia" w:asciiTheme="minorEastAsia" w:hAnsiTheme="minorEastAsia" w:cstheme="minorEastAsia"/>
          <w:b/>
          <w:bCs/>
          <w:sz w:val="18"/>
          <w:szCs w:val="18"/>
        </w:rPr>
        <w:t>摘  要：</w:t>
      </w:r>
      <w:r>
        <w:rPr>
          <w:rFonts w:ascii="Times New Roman" w:hAnsi="Times New Roman" w:cs="Times New Roman"/>
          <w:sz w:val="18"/>
          <w:szCs w:val="18"/>
          <w:lang w:val="en-GB"/>
        </w:rPr>
        <w:t>Problem-based Learning教学法</w:t>
      </w:r>
      <w:r>
        <w:rPr>
          <w:rFonts w:hint="eastAsia" w:ascii="Times New Roman" w:hAnsi="Times New Roman" w:cs="Times New Roman"/>
          <w:sz w:val="18"/>
          <w:szCs w:val="18"/>
          <w:lang w:val="en-GB"/>
        </w:rPr>
        <w:t>(PBL)</w:t>
      </w:r>
      <w:r>
        <w:rPr>
          <w:rFonts w:ascii="Times New Roman" w:hAnsi="Times New Roman" w:cs="Times New Roman"/>
          <w:sz w:val="18"/>
          <w:szCs w:val="18"/>
          <w:lang w:val="en-GB"/>
        </w:rPr>
        <w:t>是“基于问题式学习”的自主学习模式。</w:t>
      </w:r>
      <w:commentRangeEnd w:id="3"/>
      <w:r>
        <w:rPr>
          <w:rStyle w:val="11"/>
        </w:rPr>
        <w:commentReference w:id="3"/>
      </w:r>
      <w:r>
        <w:rPr>
          <w:rFonts w:hint="eastAsia" w:ascii="Times New Roman" w:hAnsi="Times New Roman" w:cs="Times New Roman"/>
          <w:sz w:val="18"/>
          <w:szCs w:val="18"/>
        </w:rPr>
        <w:t>。。。本文分析将PBL应用于。。。必要性，讨论。。。教学模式，并。。。需注意的问题。结果显示。。。，对PBL应用于。。。有积极影响。</w:t>
      </w:r>
    </w:p>
    <w:p>
      <w:pPr>
        <w:rPr>
          <w:rFonts w:asciiTheme="minorEastAsia" w:hAnsiTheme="minorEastAsia" w:cstheme="minorEastAsia"/>
          <w:sz w:val="18"/>
          <w:szCs w:val="18"/>
        </w:rPr>
      </w:pPr>
      <w:commentRangeStart w:id="4"/>
      <w:r>
        <w:rPr>
          <w:rFonts w:hint="eastAsia" w:asciiTheme="minorEastAsia" w:hAnsiTheme="minorEastAsia" w:cstheme="minorEastAsia"/>
          <w:b/>
          <w:bCs/>
          <w:sz w:val="18"/>
          <w:szCs w:val="18"/>
        </w:rPr>
        <w:t>关键词：</w:t>
      </w:r>
      <w:r>
        <w:rPr>
          <w:rFonts w:ascii="Times New Roman" w:hAnsi="Times New Roman" w:cs="Times New Roman"/>
          <w:sz w:val="18"/>
          <w:szCs w:val="18"/>
        </w:rPr>
        <w:t>PBL</w:t>
      </w:r>
      <w:r>
        <w:rPr>
          <w:rFonts w:hint="eastAsia" w:asciiTheme="minorEastAsia" w:hAnsiTheme="minorEastAsia" w:cstheme="minorEastAsia"/>
          <w:sz w:val="18"/>
          <w:szCs w:val="18"/>
        </w:rPr>
        <w:t xml:space="preserve"> 教学模式</w:t>
      </w:r>
      <w:commentRangeEnd w:id="4"/>
      <w:r>
        <w:rPr>
          <w:rStyle w:val="11"/>
        </w:rPr>
        <w:commentReference w:id="4"/>
      </w:r>
      <w:r>
        <w:rPr>
          <w:rFonts w:hint="eastAsia" w:asciiTheme="minorEastAsia" w:hAnsiTheme="minorEastAsia" w:cstheme="minorEastAsia"/>
          <w:sz w:val="18"/>
          <w:szCs w:val="18"/>
        </w:rPr>
        <w:t>。。。</w:t>
      </w:r>
    </w:p>
    <w:p>
      <w:pPr>
        <w:rPr>
          <w:rFonts w:asciiTheme="minorEastAsia" w:hAnsiTheme="minorEastAsia" w:cstheme="minorEastAsia"/>
          <w:sz w:val="18"/>
          <w:szCs w:val="18"/>
        </w:rPr>
      </w:pPr>
    </w:p>
    <w:p>
      <w:pPr>
        <w:rPr>
          <w:rFonts w:ascii="Times New Roman" w:hAnsi="Times New Roman" w:cs="Times New Roman"/>
          <w:sz w:val="18"/>
          <w:szCs w:val="18"/>
        </w:rPr>
      </w:pPr>
      <w:commentRangeStart w:id="5"/>
      <w:r>
        <w:rPr>
          <w:rFonts w:ascii="Times New Roman" w:hAnsi="Times New Roman" w:cs="Times New Roman"/>
          <w:b/>
          <w:bCs/>
          <w:sz w:val="18"/>
          <w:szCs w:val="18"/>
        </w:rPr>
        <w:t>Abstract:</w:t>
      </w:r>
      <w:r>
        <w:rPr>
          <w:rFonts w:ascii="Times New Roman" w:hAnsi="Times New Roman" w:cs="Times New Roman"/>
          <w:sz w:val="18"/>
          <w:szCs w:val="18"/>
        </w:rPr>
        <w:t xml:space="preserve"> Problem-based Learning (PBL) is a</w:t>
      </w:r>
      <w:r>
        <w:rPr>
          <w:rFonts w:hint="eastAsia" w:ascii="Times New Roman" w:hAnsi="Times New Roman" w:cs="Times New Roman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 xml:space="preserve"> autonomous learning mode </w:t>
      </w:r>
      <w:r>
        <w:rPr>
          <w:rFonts w:hint="eastAsia" w:ascii="Times New Roman" w:hAnsi="Times New Roman" w:cs="Times New Roman"/>
          <w:sz w:val="18"/>
          <w:szCs w:val="18"/>
        </w:rPr>
        <w:t>of</w:t>
      </w:r>
      <w:r>
        <w:rPr>
          <w:rFonts w:ascii="Times New Roman" w:hAnsi="Times New Roman" w:cs="Times New Roman"/>
          <w:sz w:val="18"/>
          <w:szCs w:val="18"/>
        </w:rPr>
        <w:t xml:space="preserve"> “problem-based learning”</w:t>
      </w:r>
      <w:commentRangeEnd w:id="5"/>
      <w:r>
        <w:rPr>
          <w:rStyle w:val="11"/>
        </w:rPr>
        <w:commentReference w:id="5"/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hint="eastAsia" w:ascii="Times New Roman" w:hAnsi="Times New Roman" w:cs="Times New Roman"/>
          <w:sz w:val="18"/>
          <w:szCs w:val="18"/>
        </w:rPr>
        <w:t>。。。。。。</w:t>
      </w:r>
      <w:commentRangeStart w:id="6"/>
      <w:r>
        <w:rPr>
          <w:rFonts w:hint="eastAsia" w:ascii="Times New Roman" w:hAnsi="Times New Roman" w:cs="Times New Roman"/>
          <w:b/>
          <w:bCs/>
          <w:sz w:val="18"/>
          <w:szCs w:val="18"/>
        </w:rPr>
        <w:t xml:space="preserve">Keywords: </w:t>
      </w:r>
      <w:r>
        <w:rPr>
          <w:rFonts w:hint="eastAsia" w:ascii="Times New Roman" w:hAnsi="Times New Roman" w:cs="Times New Roman"/>
          <w:sz w:val="18"/>
          <w:szCs w:val="18"/>
        </w:rPr>
        <w:t>PBL teaching mode</w:t>
      </w:r>
      <w:commentRangeEnd w:id="6"/>
      <w:r>
        <w:rPr>
          <w:rStyle w:val="11"/>
        </w:rPr>
        <w:commentReference w:id="6"/>
      </w:r>
    </w:p>
    <w:p>
      <w:pPr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黑体" w:hAnsi="Calibri" w:eastAsia="黑体" w:cs="Times New Roman"/>
          <w:b/>
          <w:bCs/>
          <w:sz w:val="24"/>
        </w:rPr>
      </w:pPr>
      <w:commentRangeStart w:id="7"/>
      <w:r>
        <w:rPr>
          <w:rFonts w:hint="eastAsia" w:ascii="黑体" w:hAnsi="Calibri" w:eastAsia="黑体" w:cs="Times New Roman"/>
          <w:b/>
          <w:bCs/>
          <w:sz w:val="24"/>
        </w:rPr>
        <w:t>一、前言</w:t>
      </w:r>
      <w:commentRangeEnd w:id="7"/>
      <w:r>
        <w:rPr>
          <w:rStyle w:val="11"/>
        </w:rPr>
        <w:commentReference w:id="7"/>
      </w:r>
    </w:p>
    <w:p>
      <w:pPr>
        <w:tabs>
          <w:tab w:val="left" w:pos="360"/>
          <w:tab w:val="left" w:pos="540"/>
        </w:tabs>
        <w:rPr>
          <w:rFonts w:ascii="宋体" w:hAnsi="宋体" w:eastAsia="宋体" w:cs="Times New Roman"/>
          <w:b/>
          <w:sz w:val="18"/>
          <w:szCs w:val="18"/>
        </w:rPr>
      </w:pPr>
      <w:r>
        <w:rPr>
          <w:rFonts w:hint="eastAsia" w:ascii="宋体" w:hAnsi="宋体" w:eastAsia="宋体" w:cs="Times New Roman"/>
          <w:b/>
          <w:sz w:val="18"/>
          <w:szCs w:val="18"/>
        </w:rPr>
        <w:t>1. 文献综述</w:t>
      </w:r>
      <w:r>
        <w:rPr>
          <w:rStyle w:val="11"/>
        </w:rPr>
        <w:commentReference w:id="8"/>
      </w:r>
    </w:p>
    <w:p>
      <w:pPr>
        <w:tabs>
          <w:tab w:val="left" w:pos="360"/>
          <w:tab w:val="left" w:pos="540"/>
        </w:tabs>
        <w:rPr>
          <w:rFonts w:ascii="宋体" w:hAnsi="宋体" w:eastAsia="宋体" w:cs="Times New Roman"/>
          <w:b/>
          <w:sz w:val="18"/>
          <w:szCs w:val="18"/>
        </w:rPr>
      </w:pPr>
      <w:commentRangeStart w:id="9"/>
      <w:r>
        <w:rPr>
          <w:rFonts w:hint="eastAsia" w:ascii="宋体" w:hAnsi="宋体" w:eastAsia="宋体" w:cs="Times New Roman"/>
          <w:b/>
          <w:sz w:val="18"/>
          <w:szCs w:val="18"/>
        </w:rPr>
        <w:t>1.</w:t>
      </w:r>
      <w:r>
        <w:rPr>
          <w:rFonts w:ascii="宋体" w:hAnsi="宋体" w:eastAsia="宋体" w:cs="Times New Roman"/>
          <w:b/>
          <w:sz w:val="18"/>
          <w:szCs w:val="18"/>
        </w:rPr>
        <w:t>1</w:t>
      </w:r>
      <w:r>
        <w:rPr>
          <w:rFonts w:hint="eastAsia" w:ascii="宋体" w:hAnsi="宋体" w:eastAsia="宋体" w:cs="Times New Roman"/>
          <w:b/>
          <w:sz w:val="18"/>
          <w:szCs w:val="18"/>
        </w:rPr>
        <w:t xml:space="preserve"> 国外研究</w:t>
      </w:r>
      <w:commentRangeEnd w:id="9"/>
      <w:r>
        <w:rPr>
          <w:rStyle w:val="11"/>
        </w:rPr>
        <w:commentReference w:id="9"/>
      </w:r>
    </w:p>
    <w:p>
      <w:pPr>
        <w:pStyle w:val="5"/>
        <w:rPr>
          <w:rFonts w:ascii="Calibri" w:hAnsi="Calibri"/>
        </w:rPr>
      </w:pPr>
      <w:r>
        <w:rPr>
          <w:rFonts w:hint="eastAsia"/>
        </w:rPr>
        <w:t>综合国内外的焦虑研究结果，影响外语学习者焦虑的因素大体可分为三类：1）自然因素，如性别、年龄等；2）课堂学习因素，如外语水平、学习信念、学习经历等；3）社会因素，如家庭背景等</w:t>
      </w:r>
      <w:r>
        <w:rPr>
          <w:rFonts w:hint="eastAsia" w:ascii="Calibri" w:hAnsi="Calibri"/>
        </w:rPr>
        <w:t>。这三类因素相互作用，共同影响着学习者的外语学习焦虑。</w:t>
      </w:r>
      <w:r>
        <w:rPr>
          <w:rFonts w:hint="eastAsia"/>
        </w:rPr>
        <w:t>然而，就这些因素对外语学习焦虑的影响而言，国内外实证研究所得出的结论却不太一致，有些甚至相互冲突。如，在性别和年龄上，</w:t>
      </w:r>
      <w:r>
        <w:rPr>
          <w:rFonts w:hint="eastAsia" w:ascii="Calibri" w:hAnsi="Calibri"/>
        </w:rPr>
        <w:t>Aida（1994）和Yan（1998）的研究均发现，男女本科生的外语焦虑水平无显著差异；Blacken等（2012）也发现，对于21-30岁的非英语专业研究生，不同年龄组间的英语学习焦虑均不存在显著差异。</w:t>
      </w:r>
      <w:r>
        <w:rPr>
          <w:rFonts w:ascii="Calibri" w:hAnsi="Calibri" w:eastAsia="黑体"/>
        </w:rPr>
        <w:t>Elkhafaifi</w:t>
      </w:r>
      <w:r>
        <w:rPr>
          <w:rFonts w:ascii="Calibri" w:hAnsi="Calibri"/>
        </w:rPr>
        <w:t>（2005）对</w:t>
      </w:r>
      <w:r>
        <w:rPr>
          <w:rFonts w:hint="eastAsia" w:ascii="Calibri" w:hAnsi="Calibri"/>
        </w:rPr>
        <w:t xml:space="preserve">6所美国大学的233名初学阿拉伯语的本科生和研究生的考察发现，女生总体的外语学习焦虑显著高于男生，但在听力焦虑上二者无显著差异。因此，单纯考察年龄和性别对外语学习焦虑的影响并没有太大意义，在研究影响外语学习焦虑时，学习者的经历和对目标语的参与程度都应重点加以考虑。在与课堂学习有关的焦虑研究上，Blacken（2015）指出，在所有影响外语课堂焦虑的内在因素中，根本原因是学生的英语水平，或者是学生对自己外语水平的看法。这一观点也得到了国内外很多实证研究的佐证（Liu &amp; Jackson, 2008; </w:t>
      </w:r>
      <w:r>
        <w:rPr>
          <w:rFonts w:ascii="Calibri" w:hAnsi="Calibri"/>
        </w:rPr>
        <w:t>MacIntyre</w:t>
      </w:r>
      <w:r>
        <w:rPr>
          <w:rFonts w:hint="eastAsia" w:ascii="Calibri" w:hAnsi="Calibri"/>
        </w:rPr>
        <w:t xml:space="preserve"> et al., 1997; </w:t>
      </w:r>
      <w:r>
        <w:rPr>
          <w:rFonts w:ascii="Calibri" w:hAnsi="Calibri"/>
        </w:rPr>
        <w:t>Matsuda</w:t>
      </w:r>
      <w:r>
        <w:rPr>
          <w:rFonts w:hint="eastAsia" w:ascii="Calibri" w:hAnsi="Calibri"/>
        </w:rPr>
        <w:t xml:space="preserve"> &amp; Gabel. 2004）。上述这些量的研究往往只单独考虑了自然因素（年龄、性别）和课堂因素，或二者的交互作用对外语学习焦虑的影响，却忽略了社会因素的作用。Yan &amp; Horwitz（2008）通过质的研究发现，地区差异看成是影响外语焦虑的主要动因（primary driver），但该结论仍需实证研究的检验。</w:t>
      </w:r>
    </w:p>
    <w:p>
      <w:pPr>
        <w:tabs>
          <w:tab w:val="left" w:pos="360"/>
          <w:tab w:val="left" w:pos="540"/>
        </w:tabs>
        <w:ind w:firstLine="360" w:firstLineChars="200"/>
        <w:rPr>
          <w:rFonts w:ascii="Calibri" w:hAnsi="Calibri" w:eastAsia="宋体" w:cs="Times New Roman"/>
          <w:sz w:val="18"/>
          <w:szCs w:val="18"/>
        </w:rPr>
      </w:pPr>
      <w:r>
        <w:rPr>
          <w:rFonts w:hint="eastAsia" w:ascii="Calibri" w:hAnsi="Calibri" w:eastAsia="宋体" w:cs="Times New Roman"/>
          <w:sz w:val="18"/>
          <w:szCs w:val="18"/>
        </w:rPr>
        <w:t>综上所述，影响外语学习焦虑的自然、社会和课堂学习因素很多，影响方式复杂且程度不一。总体上，目前大多数的实证研究只侧重考察了自然因素和课堂学习因素，对社会因素的考察严重不足，尤其缺乏对自然、社会和课堂因素三者同时进行考察的实证研究。</w:t>
      </w:r>
    </w:p>
    <w:p>
      <w:pPr>
        <w:tabs>
          <w:tab w:val="left" w:pos="360"/>
          <w:tab w:val="left" w:pos="540"/>
        </w:tabs>
        <w:rPr>
          <w:rFonts w:ascii="宋体" w:hAnsi="宋体" w:eastAsia="宋体" w:cs="Times New Roman"/>
          <w:b/>
          <w:sz w:val="18"/>
          <w:szCs w:val="18"/>
        </w:rPr>
      </w:pPr>
      <w:r>
        <w:rPr>
          <w:rFonts w:hint="eastAsia" w:ascii="宋体" w:hAnsi="宋体" w:eastAsia="宋体" w:cs="Times New Roman"/>
          <w:b/>
          <w:sz w:val="18"/>
          <w:szCs w:val="18"/>
        </w:rPr>
        <w:t>1.2国内研究</w:t>
      </w:r>
      <w:r>
        <w:rPr>
          <w:rStyle w:val="11"/>
        </w:rPr>
        <w:commentReference w:id="10"/>
      </w:r>
    </w:p>
    <w:p>
      <w:pPr>
        <w:pStyle w:val="14"/>
        <w:tabs>
          <w:tab w:val="left" w:pos="360"/>
          <w:tab w:val="left" w:pos="540"/>
        </w:tabs>
        <w:ind w:left="360" w:firstLine="0"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Calibri" w:hAnsi="Calibri" w:eastAsia="宋体" w:cs="Times New Roman"/>
          <w:sz w:val="18"/>
          <w:szCs w:val="18"/>
        </w:rPr>
        <w:t>焦虑水平愈高的学生愈倾向低估自己的外语水平，焦虑水平愈低的学生愈倾向高估自己的外语水平。</w:t>
      </w:r>
    </w:p>
    <w:p>
      <w:pPr>
        <w:pStyle w:val="14"/>
        <w:numPr>
          <w:ilvl w:val="1"/>
          <w:numId w:val="1"/>
        </w:numPr>
        <w:tabs>
          <w:tab w:val="left" w:pos="360"/>
          <w:tab w:val="left" w:pos="540"/>
        </w:tabs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 w:eastAsia="宋体" w:cs="Times New Roman"/>
          <w:b/>
          <w:sz w:val="18"/>
          <w:szCs w:val="18"/>
        </w:rPr>
        <w:t>研究问题</w:t>
      </w:r>
    </w:p>
    <w:p>
      <w:pPr>
        <w:pStyle w:val="14"/>
        <w:tabs>
          <w:tab w:val="left" w:pos="360"/>
          <w:tab w:val="left" w:pos="540"/>
        </w:tabs>
        <w:ind w:left="360" w:firstLine="0" w:firstLineChars="0"/>
        <w:rPr>
          <w:rFonts w:ascii="宋体" w:hAnsi="宋体" w:eastAsia="宋体" w:cs="Times New Roman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1）</w:t>
      </w:r>
      <w:r>
        <w:rPr>
          <w:rFonts w:hint="eastAsia" w:ascii="Calibri" w:hAnsi="Calibri" w:eastAsia="宋体" w:cs="Times New Roman"/>
          <w:sz w:val="18"/>
          <w:szCs w:val="18"/>
        </w:rPr>
        <w:t>本研究的具体问题为：</w:t>
      </w:r>
    </w:p>
    <w:p>
      <w:pPr>
        <w:tabs>
          <w:tab w:val="left" w:pos="360"/>
          <w:tab w:val="left" w:pos="540"/>
        </w:tabs>
        <w:ind w:firstLine="360" w:firstLineChars="200"/>
        <w:rPr>
          <w:rFonts w:hint="eastAsia"/>
          <w:sz w:val="18"/>
          <w:szCs w:val="18"/>
        </w:rPr>
      </w:pPr>
      <w:commentRangeStart w:id="11"/>
      <w:r>
        <w:rPr>
          <w:rFonts w:hint="eastAsia" w:ascii="Calibri" w:hAnsi="Calibri" w:eastAsia="宋体" w:cs="Times New Roman"/>
          <w:sz w:val="18"/>
          <w:szCs w:val="18"/>
        </w:rPr>
        <w:t>非英专研究生的英语学习焦虑在性别、年龄、工作经历、家庭背景、英语水平等个人因素上是</w:t>
      </w:r>
      <w:r>
        <w:rPr>
          <w:rFonts w:hint="eastAsia" w:ascii="宋体" w:hAnsi="宋体" w:eastAsia="宋体" w:cs="Times New Roman"/>
          <w:sz w:val="18"/>
          <w:szCs w:val="18"/>
        </w:rPr>
        <w:t>1）</w:t>
      </w:r>
      <w:commentRangeEnd w:id="11"/>
      <w:r>
        <w:rPr>
          <w:rStyle w:val="11"/>
        </w:rPr>
        <w:commentReference w:id="11"/>
      </w:r>
      <w:r>
        <w:rPr>
          <w:rFonts w:hint="eastAsia" w:ascii="宋体" w:hAnsi="宋体" w:eastAsia="宋体" w:cs="Times New Roman"/>
          <w:sz w:val="18"/>
          <w:szCs w:val="18"/>
        </w:rPr>
        <w:t>自然因素，</w:t>
      </w:r>
      <w:r>
        <w:rPr>
          <w:rFonts w:hint="eastAsia" w:ascii="宋体" w:hAnsi="宋体"/>
          <w:sz w:val="18"/>
          <w:szCs w:val="18"/>
        </w:rPr>
        <w:t>综合国内外的焦虑研究结果，影响外语学习者焦虑的因素大体可分为三类：1）自然因素，如性别、年龄等；2）课堂学习因素，如外语水平、学习信念、学习经历等；3）社会因素，如家庭背景等</w:t>
      </w:r>
      <w:commentRangeStart w:id="12"/>
      <w:r>
        <w:rPr>
          <w:rFonts w:hint="eastAsia"/>
          <w:sz w:val="18"/>
          <w:szCs w:val="18"/>
        </w:rPr>
        <w:t xml:space="preserve">（Young, 1991;MacIntyre et al. 2003; </w:t>
      </w:r>
      <w:r>
        <w:rPr>
          <w:sz w:val="18"/>
          <w:szCs w:val="18"/>
        </w:rPr>
        <w:t>Rodríguez &amp; Abreu</w:t>
      </w:r>
      <w:r>
        <w:rPr>
          <w:rFonts w:hint="eastAsia"/>
          <w:sz w:val="18"/>
          <w:szCs w:val="18"/>
        </w:rPr>
        <w:t xml:space="preserve">, </w:t>
      </w:r>
      <w:r>
        <w:rPr>
          <w:sz w:val="18"/>
          <w:szCs w:val="18"/>
        </w:rPr>
        <w:t>2003</w:t>
      </w:r>
      <w:r>
        <w:rPr>
          <w:rFonts w:hint="eastAsia"/>
          <w:sz w:val="18"/>
          <w:szCs w:val="18"/>
        </w:rPr>
        <w:t>; Matsuda &amp; Gabel, 2004; Elkhafaifi, 2005;Yan &amp; Horwitz, 2008; 王才康, 2003）</w:t>
      </w:r>
      <w:commentRangeEnd w:id="12"/>
      <w:r>
        <w:rPr>
          <w:rStyle w:val="11"/>
        </w:rPr>
        <w:commentReference w:id="12"/>
      </w:r>
      <w:r>
        <w:rPr>
          <w:rFonts w:hint="eastAsia"/>
          <w:sz w:val="18"/>
          <w:szCs w:val="18"/>
        </w:rPr>
        <w:t>。这三类因素相互作用，共同影响着学习者的外语学习焦虑。</w:t>
      </w:r>
      <w:r>
        <w:rPr>
          <w:rFonts w:hint="eastAsia" w:ascii="宋体" w:hAnsi="宋体"/>
          <w:sz w:val="18"/>
          <w:szCs w:val="18"/>
        </w:rPr>
        <w:t>然而，就这些因素对外语学习焦虑的影响而言，国内外实证研究所得出的结论却不太一致，有些甚至相互冲突。如，在性别和年龄上，</w:t>
      </w:r>
      <w:r>
        <w:rPr>
          <w:rFonts w:hint="eastAsia"/>
          <w:sz w:val="18"/>
          <w:szCs w:val="18"/>
        </w:rPr>
        <w:t>Aida（1994）和Yan（1998）的研究均发现，男女本科生的外语焦虑水平无显著差异；而王才康（2003）却发现，男本科生的英语学习焦虑显著高于女本科生。</w:t>
      </w:r>
      <w:commentRangeStart w:id="13"/>
      <w:r>
        <w:rPr>
          <w:rFonts w:eastAsia="黑体"/>
          <w:sz w:val="18"/>
          <w:szCs w:val="18"/>
        </w:rPr>
        <w:t>Elkhafaifi</w:t>
      </w:r>
      <w:r>
        <w:rPr>
          <w:sz w:val="18"/>
          <w:szCs w:val="18"/>
        </w:rPr>
        <w:t>（2005）</w:t>
      </w:r>
      <w:commentRangeEnd w:id="13"/>
      <w:r>
        <w:rPr>
          <w:rStyle w:val="11"/>
        </w:rPr>
        <w:commentReference w:id="13"/>
      </w:r>
      <w:r>
        <w:rPr>
          <w:sz w:val="18"/>
          <w:szCs w:val="18"/>
        </w:rPr>
        <w:t>对</w:t>
      </w:r>
      <w:r>
        <w:rPr>
          <w:rFonts w:hint="eastAsia"/>
          <w:sz w:val="18"/>
          <w:szCs w:val="18"/>
        </w:rPr>
        <w:t>6所美国大学的233名初学阿拉伯语的本科生和研究生的考察发现，女生总体的外语学习焦虑显著高于男生，但在听力焦虑上二者无显著差异。因此，单纯考察年龄和性别对外语学习焦虑的影响并没有太大意义，在研究影响外语学习焦虑时，学习者的经历和对目标语的参与程度都应重点加以考虑。在与课堂学习有关的焦虑研究上，有研究者（</w:t>
      </w:r>
      <w:commentRangeStart w:id="14"/>
      <w:r>
        <w:rPr>
          <w:sz w:val="18"/>
          <w:szCs w:val="18"/>
        </w:rPr>
        <w:t>Clément</w:t>
      </w:r>
      <w:r>
        <w:rPr>
          <w:rFonts w:hint="eastAsia"/>
          <w:sz w:val="18"/>
          <w:szCs w:val="18"/>
        </w:rPr>
        <w:t xml:space="preserve"> et al.</w:t>
      </w:r>
      <w:commentRangeEnd w:id="14"/>
      <w:r>
        <w:rPr>
          <w:rStyle w:val="11"/>
        </w:rPr>
        <w:commentReference w:id="14"/>
      </w:r>
      <w:r>
        <w:rPr>
          <w:rFonts w:hint="eastAsia"/>
          <w:sz w:val="18"/>
          <w:szCs w:val="18"/>
        </w:rPr>
        <w:t>, 1980; 刘梅华、沈明波，2004）指出，在所有影响外语课堂焦虑的内在因素中，根本原因是学生的英语水平，或者是学生对自己外语水平的看法。Yan &amp; Horwitz（2008）通过质的研究发现，地区差异看成是影响外语焦虑的主要动因（primary driver），但该结论仍需实证研究的检验。</w:t>
      </w:r>
    </w:p>
    <w:p>
      <w:pPr>
        <w:rPr>
          <w:rFonts w:ascii="黑体" w:hAnsi="黑体" w:eastAsia="黑体" w:cs="Times New Roman"/>
          <w:b/>
          <w:bCs/>
        </w:rPr>
      </w:pPr>
      <w:r>
        <w:rPr>
          <w:rFonts w:hint="eastAsia" w:ascii="黑体" w:hAnsi="黑体" w:eastAsia="黑体" w:cs="Times New Roman"/>
          <w:b/>
          <w:bCs/>
        </w:rPr>
        <w:t>二、研究设计</w:t>
      </w:r>
    </w:p>
    <w:p>
      <w:pPr>
        <w:rPr>
          <w:rFonts w:ascii="宋体" w:hAnsi="宋体" w:eastAsia="宋体" w:cs="Times New Roman"/>
          <w:b/>
          <w:bCs/>
          <w:sz w:val="18"/>
          <w:szCs w:val="18"/>
        </w:rPr>
      </w:pPr>
      <w:r>
        <w:rPr>
          <w:rFonts w:hint="eastAsia" w:ascii="宋体" w:hAnsi="宋体" w:eastAsia="宋体" w:cs="Times New Roman"/>
          <w:b/>
          <w:bCs/>
          <w:sz w:val="18"/>
          <w:szCs w:val="18"/>
        </w:rPr>
        <w:t>2.1 测量工具</w:t>
      </w:r>
    </w:p>
    <w:p>
      <w:pPr>
        <w:ind w:firstLine="307" w:firstLineChars="171"/>
        <w:rPr>
          <w:rFonts w:ascii="Calibri" w:hAnsi="Calibri" w:eastAsia="宋体" w:cs="Times New Roman"/>
          <w:sz w:val="18"/>
          <w:szCs w:val="18"/>
        </w:rPr>
      </w:pPr>
      <w:r>
        <w:rPr>
          <w:rFonts w:hint="eastAsia" w:ascii="Calibri" w:hAnsi="Calibri" w:eastAsia="宋体" w:cs="Times New Roman"/>
          <w:sz w:val="18"/>
          <w:szCs w:val="18"/>
        </w:rPr>
        <w:t>本研究问卷包括两部分。第一部分“学习者的个人因素”包括：自然因素（年龄、性别）、社会因素（工作经历、家庭背景）和课堂学习因素（英语水平）。第二部分“英语学习焦虑”采用了经Yan（1998）修订</w:t>
      </w:r>
    </w:p>
    <w:p>
      <w:pPr>
        <w:tabs>
          <w:tab w:val="left" w:pos="0"/>
        </w:tabs>
        <w:ind w:left="-2" w:leftChars="-1" w:firstLine="1"/>
        <w:rPr>
          <w:rFonts w:ascii="宋体" w:hAnsi="宋体" w:eastAsia="宋体" w:cs="Times New Roman"/>
          <w:b/>
          <w:bCs/>
          <w:sz w:val="18"/>
          <w:szCs w:val="18"/>
        </w:rPr>
      </w:pPr>
      <w:r>
        <w:rPr>
          <w:rFonts w:hint="eastAsia" w:ascii="宋体" w:hAnsi="宋体" w:eastAsia="宋体" w:cs="Times New Roman"/>
          <w:b/>
          <w:bCs/>
          <w:sz w:val="18"/>
          <w:szCs w:val="18"/>
        </w:rPr>
        <w:t>2.2 受试者</w:t>
      </w:r>
    </w:p>
    <w:p>
      <w:pPr>
        <w:autoSpaceDE w:val="0"/>
        <w:autoSpaceDN w:val="0"/>
        <w:adjustRightInd w:val="0"/>
        <w:ind w:firstLine="360" w:firstLineChars="200"/>
        <w:jc w:val="left"/>
        <w:rPr>
          <w:rFonts w:ascii="Calibri" w:hAnsi="Calibri" w:eastAsia="宋体" w:cs="Times New Roman"/>
          <w:sz w:val="18"/>
          <w:szCs w:val="18"/>
        </w:rPr>
      </w:pPr>
      <w:r>
        <w:rPr>
          <w:rFonts w:hint="eastAsia" w:ascii="Calibri" w:hAnsi="Calibri" w:eastAsia="宋体" w:cs="Times New Roman"/>
          <w:sz w:val="18"/>
          <w:szCs w:val="18"/>
        </w:rPr>
        <w:t>本研究的受试是北京某高校253名非英语专业研究生，英语是他们的必修课。其中，男生156人，女生96人，性别不详者1人；有工作经历者137人，无工作经历者116人；22岁以下者17人，23-26岁者134人，27-30岁者52人，30岁以上者50人；农村学生71人，中小城镇学生107人，大城市学生74人，家庭背景不详者1人；博士生98名，甲硕97名，乙硕58名。乙硕的英语入学成绩在60分以下，甲硕在60-</w:t>
      </w:r>
      <w:r>
        <w:rPr>
          <w:rFonts w:ascii="Calibri" w:hAnsi="Calibri" w:eastAsia="宋体" w:cs="Times New Roman"/>
          <w:sz w:val="18"/>
          <w:szCs w:val="18"/>
        </w:rPr>
        <w:t>70</w:t>
      </w:r>
      <w:r>
        <w:rPr>
          <w:rFonts w:hint="eastAsia" w:ascii="Calibri" w:hAnsi="Calibri" w:eastAsia="宋体" w:cs="Times New Roman"/>
          <w:sz w:val="18"/>
          <w:szCs w:val="18"/>
        </w:rPr>
        <w:t>分之间。博士生的整体英语水平在理论上应高于硕士生。故在英语水平上，本研究将博士生视为高水平组，甲硕为中水平组，乙硕为低水平组。</w:t>
      </w:r>
    </w:p>
    <w:p>
      <w:pPr>
        <w:autoSpaceDE w:val="0"/>
        <w:autoSpaceDN w:val="0"/>
        <w:adjustRightInd w:val="0"/>
        <w:ind w:firstLine="361" w:firstLineChars="200"/>
        <w:jc w:val="left"/>
        <w:rPr>
          <w:rFonts w:ascii="Calibri" w:hAnsi="Calibri" w:eastAsia="宋体" w:cs="Times New Roman"/>
          <w:b/>
          <w:sz w:val="18"/>
          <w:szCs w:val="18"/>
        </w:rPr>
      </w:pPr>
      <w:commentRangeStart w:id="15"/>
      <w:r>
        <w:rPr>
          <w:rFonts w:hint="eastAsia" w:ascii="Calibri" w:hAnsi="Calibri" w:eastAsia="宋体" w:cs="Times New Roman"/>
          <w:b/>
          <w:sz w:val="18"/>
          <w:szCs w:val="18"/>
        </w:rPr>
        <w:t>空一行</w:t>
      </w:r>
      <w:commentRangeEnd w:id="15"/>
      <w:r>
        <w:rPr>
          <w:rStyle w:val="11"/>
        </w:rPr>
        <w:commentReference w:id="15"/>
      </w:r>
    </w:p>
    <w:p>
      <w:pPr>
        <w:ind w:firstLine="360" w:firstLineChars="200"/>
        <w:jc w:val="center"/>
        <w:rPr>
          <w:rFonts w:ascii="Calibri" w:hAnsi="Calibri" w:eastAsia="宋体" w:cs="Times New Roman"/>
          <w:sz w:val="18"/>
          <w:szCs w:val="18"/>
        </w:rPr>
      </w:pPr>
      <w:commentRangeStart w:id="16"/>
      <w:r>
        <w:rPr>
          <w:rFonts w:hint="eastAsia" w:ascii="Calibri" w:hAnsi="Calibri" w:eastAsia="宋体" w:cs="Times New Roman"/>
          <w:sz w:val="18"/>
          <w:szCs w:val="18"/>
        </w:rPr>
        <w:t>表1</w:t>
      </w:r>
      <w:r>
        <w:rPr>
          <w:rFonts w:ascii="Calibri" w:hAnsi="Calibri" w:eastAsia="宋体" w:cs="Times New Roman"/>
          <w:sz w:val="18"/>
          <w:szCs w:val="18"/>
        </w:rPr>
        <w:t xml:space="preserve">. </w:t>
      </w:r>
      <w:r>
        <w:rPr>
          <w:rFonts w:hint="eastAsia" w:ascii="Calibri" w:hAnsi="Calibri" w:eastAsia="宋体" w:cs="Times New Roman"/>
          <w:sz w:val="18"/>
          <w:szCs w:val="18"/>
        </w:rPr>
        <w:t>各因素组上的样本数及百分比</w:t>
      </w:r>
      <w:commentRangeEnd w:id="16"/>
      <w:r>
        <w:rPr>
          <w:rStyle w:val="11"/>
        </w:rPr>
        <w:commentReference w:id="16"/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3" w:type="dxa"/>
          <w:bottom w:w="0" w:type="dxa"/>
          <w:right w:w="93" w:type="dxa"/>
        </w:tblCellMar>
      </w:tblPr>
      <w:tblGrid>
        <w:gridCol w:w="1903"/>
        <w:gridCol w:w="1344"/>
        <w:gridCol w:w="1800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3" w:type="dxa"/>
            <w:bottom w:w="0" w:type="dxa"/>
            <w:right w:w="93" w:type="dxa"/>
          </w:tblCellMar>
        </w:tblPrEx>
        <w:trPr>
          <w:trHeight w:val="504" w:hRule="atLeast"/>
          <w:jc w:val="center"/>
        </w:trPr>
        <w:tc>
          <w:tcPr>
            <w:tcW w:w="3247" w:type="dxa"/>
            <w:gridSpan w:val="2"/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$F$" w:hAnsi="$F$" w:eastAsia="宋体" w:cs="$F$"/>
                <w:color w:val="000000"/>
                <w:kern w:val="0"/>
                <w:sz w:val="18"/>
                <w:szCs w:val="18"/>
              </w:rPr>
              <w:t>学习者因素</w:t>
            </w:r>
          </w:p>
        </w:tc>
        <w:tc>
          <w:tcPr>
            <w:tcW w:w="1800" w:type="dxa"/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$F$" w:hAnsi="$F$" w:eastAsia="宋体" w:cs="$F$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2192" w:type="dxa"/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$F$" w:hAnsi="$F$" w:eastAsia="宋体" w:cs="$F$"/>
                <w:color w:val="000000"/>
                <w:kern w:val="0"/>
                <w:sz w:val="18"/>
                <w:szCs w:val="18"/>
              </w:rPr>
              <w:t>有效百分比（%）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3" w:type="dxa"/>
            <w:bottom w:w="0" w:type="dxa"/>
            <w:right w:w="93" w:type="dxa"/>
          </w:tblCellMar>
        </w:tblPrEx>
        <w:trPr>
          <w:trHeight w:val="273" w:hRule="atLeast"/>
          <w:jc w:val="center"/>
        </w:trPr>
        <w:tc>
          <w:tcPr>
            <w:tcW w:w="1903" w:type="dxa"/>
            <w:vMerge w:val="restart"/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$F$" w:hAnsi="$F$" w:eastAsia="宋体" w:cs="$F$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344" w:type="dxa"/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$F$" w:hAnsi="$F$" w:eastAsia="宋体" w:cs="$F$"/>
                <w:color w:val="000000"/>
                <w:kern w:val="0"/>
                <w:sz w:val="18"/>
                <w:szCs w:val="18"/>
              </w:rPr>
              <w:t>男生</w:t>
            </w:r>
          </w:p>
        </w:tc>
        <w:tc>
          <w:tcPr>
            <w:tcW w:w="18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219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  <w:t>61.9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3" w:type="dxa"/>
            <w:bottom w:w="0" w:type="dxa"/>
            <w:right w:w="93" w:type="dxa"/>
          </w:tblCellMar>
        </w:tblPrEx>
        <w:trPr>
          <w:trHeight w:val="273" w:hRule="atLeast"/>
          <w:jc w:val="center"/>
        </w:trPr>
        <w:tc>
          <w:tcPr>
            <w:tcW w:w="1903" w:type="dxa"/>
            <w:vMerge w:val="continue"/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$F$" w:hAnsi="$F$" w:eastAsia="宋体" w:cs="$F$"/>
                <w:color w:val="000000"/>
                <w:kern w:val="0"/>
                <w:sz w:val="18"/>
                <w:szCs w:val="18"/>
              </w:rPr>
              <w:t>女生</w:t>
            </w:r>
          </w:p>
        </w:tc>
        <w:tc>
          <w:tcPr>
            <w:tcW w:w="18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219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  <w:t>38.1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3" w:type="dxa"/>
            <w:bottom w:w="0" w:type="dxa"/>
            <w:right w:w="93" w:type="dxa"/>
          </w:tblCellMar>
        </w:tblPrEx>
        <w:trPr>
          <w:trHeight w:val="240" w:hRule="atLeast"/>
          <w:jc w:val="center"/>
        </w:trPr>
        <w:tc>
          <w:tcPr>
            <w:tcW w:w="1903" w:type="dxa"/>
            <w:vMerge w:val="restart"/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$F$" w:hAnsi="$F$" w:eastAsia="宋体" w:cs="$F$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344" w:type="dxa"/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$F$" w:hAnsi="$F$" w:eastAsia="宋体" w:cs="$F$"/>
                <w:color w:val="000000"/>
                <w:kern w:val="0"/>
                <w:sz w:val="18"/>
                <w:szCs w:val="18"/>
              </w:rPr>
              <w:t>22岁以下</w:t>
            </w:r>
          </w:p>
        </w:tc>
        <w:tc>
          <w:tcPr>
            <w:tcW w:w="18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19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  <w:t>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3" w:type="dxa"/>
            <w:bottom w:w="0" w:type="dxa"/>
            <w:right w:w="93" w:type="dxa"/>
          </w:tblCellMar>
        </w:tblPrEx>
        <w:trPr>
          <w:trHeight w:val="225" w:hRule="atLeast"/>
          <w:jc w:val="center"/>
        </w:trPr>
        <w:tc>
          <w:tcPr>
            <w:tcW w:w="1903" w:type="dxa"/>
            <w:vMerge w:val="continue"/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  <w:t>23-26</w:t>
            </w:r>
          </w:p>
        </w:tc>
        <w:tc>
          <w:tcPr>
            <w:tcW w:w="18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219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  <w:t>53.0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3" w:type="dxa"/>
            <w:bottom w:w="0" w:type="dxa"/>
            <w:right w:w="93" w:type="dxa"/>
          </w:tblCellMar>
        </w:tblPrEx>
        <w:trPr>
          <w:trHeight w:val="360" w:hRule="atLeast"/>
          <w:jc w:val="center"/>
        </w:trPr>
        <w:tc>
          <w:tcPr>
            <w:tcW w:w="1903" w:type="dxa"/>
            <w:vMerge w:val="continue"/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  <w:t>27-30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19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  <w:t>20.6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3" w:type="dxa"/>
            <w:bottom w:w="0" w:type="dxa"/>
            <w:right w:w="93" w:type="dxa"/>
          </w:tblCellMar>
        </w:tblPrEx>
        <w:trPr>
          <w:trHeight w:val="255" w:hRule="atLeast"/>
          <w:jc w:val="center"/>
        </w:trPr>
        <w:tc>
          <w:tcPr>
            <w:tcW w:w="1903" w:type="dxa"/>
            <w:vMerge w:val="continue"/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$F$" w:hAnsi="$F$" w:eastAsia="宋体" w:cs="$F$"/>
                <w:color w:val="000000"/>
                <w:kern w:val="0"/>
                <w:sz w:val="18"/>
                <w:szCs w:val="18"/>
              </w:rPr>
              <w:t xml:space="preserve"> 30岁以上</w:t>
            </w:r>
          </w:p>
        </w:tc>
        <w:tc>
          <w:tcPr>
            <w:tcW w:w="18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19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  <w:t>19.8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3" w:type="dxa"/>
            <w:bottom w:w="0" w:type="dxa"/>
            <w:right w:w="93" w:type="dxa"/>
          </w:tblCellMar>
        </w:tblPrEx>
        <w:trPr>
          <w:trHeight w:val="315" w:hRule="atLeast"/>
          <w:jc w:val="center"/>
        </w:trPr>
        <w:tc>
          <w:tcPr>
            <w:tcW w:w="1903" w:type="dxa"/>
            <w:vMerge w:val="restart"/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$F$" w:hAnsi="$F$" w:eastAsia="宋体" w:cs="$F$"/>
                <w:color w:val="000000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1344" w:type="dxa"/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$F$" w:hAnsi="$F$" w:eastAsia="宋体" w:cs="$F$"/>
                <w:color w:val="000000"/>
                <w:kern w:val="0"/>
                <w:sz w:val="18"/>
                <w:szCs w:val="18"/>
              </w:rPr>
              <w:t>有</w:t>
            </w:r>
          </w:p>
        </w:tc>
        <w:tc>
          <w:tcPr>
            <w:tcW w:w="18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219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  <w:t>54.2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3" w:type="dxa"/>
            <w:bottom w:w="0" w:type="dxa"/>
            <w:right w:w="93" w:type="dxa"/>
          </w:tblCellMar>
        </w:tblPrEx>
        <w:trPr>
          <w:trHeight w:val="315" w:hRule="atLeast"/>
          <w:jc w:val="center"/>
        </w:trPr>
        <w:tc>
          <w:tcPr>
            <w:tcW w:w="1903" w:type="dxa"/>
            <w:vMerge w:val="continue"/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$F$" w:hAnsi="$F$" w:eastAsia="宋体" w:cs="$F$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8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219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  <w:t>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3" w:type="dxa"/>
            <w:bottom w:w="0" w:type="dxa"/>
            <w:right w:w="93" w:type="dxa"/>
          </w:tblCellMar>
        </w:tblPrEx>
        <w:trPr>
          <w:trHeight w:val="300" w:hRule="atLeast"/>
          <w:jc w:val="center"/>
        </w:trPr>
        <w:tc>
          <w:tcPr>
            <w:tcW w:w="1903" w:type="dxa"/>
            <w:vMerge w:val="restart"/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$F$" w:hAnsi="$F$" w:eastAsia="宋体" w:cs="$F$"/>
                <w:color w:val="000000"/>
                <w:kern w:val="0"/>
                <w:sz w:val="18"/>
                <w:szCs w:val="18"/>
              </w:rPr>
              <w:t>家庭背景</w:t>
            </w:r>
          </w:p>
        </w:tc>
        <w:tc>
          <w:tcPr>
            <w:tcW w:w="1344" w:type="dxa"/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$F$" w:hAnsi="$F$" w:eastAsia="宋体" w:cs="$F$"/>
                <w:color w:val="000000"/>
                <w:kern w:val="0"/>
                <w:sz w:val="18"/>
                <w:szCs w:val="18"/>
              </w:rPr>
              <w:t>农村</w:t>
            </w:r>
          </w:p>
        </w:tc>
        <w:tc>
          <w:tcPr>
            <w:tcW w:w="18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$F$" w:hAnsi="$F$" w:eastAsia="宋体" w:cs="$F$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219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  <w:t>28.2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3" w:type="dxa"/>
            <w:bottom w:w="0" w:type="dxa"/>
            <w:right w:w="93" w:type="dxa"/>
          </w:tblCellMar>
        </w:tblPrEx>
        <w:trPr>
          <w:trHeight w:val="300" w:hRule="atLeast"/>
          <w:jc w:val="center"/>
        </w:trPr>
        <w:tc>
          <w:tcPr>
            <w:tcW w:w="1903" w:type="dxa"/>
            <w:vMerge w:val="continue"/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$F$" w:hAnsi="$F$" w:eastAsia="宋体" w:cs="$F$"/>
                <w:color w:val="000000"/>
                <w:kern w:val="0"/>
                <w:sz w:val="18"/>
                <w:szCs w:val="18"/>
              </w:rPr>
              <w:t>中小城镇</w:t>
            </w:r>
          </w:p>
        </w:tc>
        <w:tc>
          <w:tcPr>
            <w:tcW w:w="18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$F$" w:hAnsi="$F$" w:eastAsia="宋体" w:cs="$F$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219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  <w:t>42.5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3" w:type="dxa"/>
            <w:bottom w:w="0" w:type="dxa"/>
            <w:right w:w="93" w:type="dxa"/>
          </w:tblCellMar>
        </w:tblPrEx>
        <w:trPr>
          <w:trHeight w:val="330" w:hRule="atLeast"/>
          <w:jc w:val="center"/>
        </w:trPr>
        <w:tc>
          <w:tcPr>
            <w:tcW w:w="1903" w:type="dxa"/>
            <w:vMerge w:val="continue"/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$F$" w:hAnsi="$F$" w:eastAsia="宋体" w:cs="$F$"/>
                <w:color w:val="000000"/>
                <w:kern w:val="0"/>
                <w:sz w:val="18"/>
                <w:szCs w:val="18"/>
              </w:rPr>
              <w:t>大城市</w:t>
            </w:r>
          </w:p>
        </w:tc>
        <w:tc>
          <w:tcPr>
            <w:tcW w:w="18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219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  <w:t>29.4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3" w:type="dxa"/>
            <w:bottom w:w="0" w:type="dxa"/>
            <w:right w:w="93" w:type="dxa"/>
          </w:tblCellMar>
        </w:tblPrEx>
        <w:trPr>
          <w:trHeight w:val="225" w:hRule="atLeast"/>
          <w:jc w:val="center"/>
        </w:trPr>
        <w:tc>
          <w:tcPr>
            <w:tcW w:w="1903" w:type="dxa"/>
            <w:vMerge w:val="restart"/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$F$" w:hAnsi="$F$" w:eastAsia="宋体" w:cs="$F$"/>
                <w:color w:val="000000"/>
                <w:kern w:val="0"/>
                <w:sz w:val="18"/>
                <w:szCs w:val="18"/>
              </w:rPr>
              <w:t>英语水平</w:t>
            </w:r>
          </w:p>
        </w:tc>
        <w:tc>
          <w:tcPr>
            <w:tcW w:w="1344" w:type="dxa"/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$F$" w:hAnsi="$F$" w:eastAsia="宋体" w:cs="$F$"/>
                <w:color w:val="000000"/>
                <w:kern w:val="0"/>
                <w:sz w:val="18"/>
                <w:szCs w:val="18"/>
              </w:rPr>
              <w:t>乙硕</w:t>
            </w:r>
          </w:p>
        </w:tc>
        <w:tc>
          <w:tcPr>
            <w:tcW w:w="18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$F$" w:hAnsi="$F$" w:eastAsia="宋体" w:cs="$F$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19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$F$" w:hAnsi="$F$" w:eastAsia="宋体" w:cs="$F$"/>
                <w:color w:val="000000"/>
                <w:kern w:val="0"/>
                <w:sz w:val="18"/>
                <w:szCs w:val="18"/>
              </w:rPr>
              <w:t>22.9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3" w:type="dxa"/>
            <w:bottom w:w="0" w:type="dxa"/>
            <w:right w:w="93" w:type="dxa"/>
          </w:tblCellMar>
        </w:tblPrEx>
        <w:trPr>
          <w:trHeight w:val="217" w:hRule="atLeast"/>
          <w:jc w:val="center"/>
        </w:trPr>
        <w:tc>
          <w:tcPr>
            <w:tcW w:w="1903" w:type="dxa"/>
            <w:vMerge w:val="continue"/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$F$" w:hAnsi="$F$" w:eastAsia="宋体" w:cs="$F$"/>
                <w:color w:val="000000"/>
                <w:kern w:val="0"/>
                <w:sz w:val="18"/>
                <w:szCs w:val="18"/>
              </w:rPr>
              <w:t>甲硕</w:t>
            </w:r>
          </w:p>
        </w:tc>
        <w:tc>
          <w:tcPr>
            <w:tcW w:w="18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$F$" w:hAnsi="$F$" w:eastAsia="宋体" w:cs="$F$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219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$F$" w:hAnsi="$F$" w:eastAsia="宋体" w:cs="$F$"/>
                <w:color w:val="000000"/>
                <w:kern w:val="0"/>
                <w:sz w:val="18"/>
                <w:szCs w:val="18"/>
              </w:rPr>
              <w:t>38.3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3" w:type="dxa"/>
            <w:bottom w:w="0" w:type="dxa"/>
            <w:right w:w="93" w:type="dxa"/>
          </w:tblCellMar>
        </w:tblPrEx>
        <w:trPr>
          <w:trHeight w:val="217" w:hRule="atLeast"/>
          <w:jc w:val="center"/>
        </w:trPr>
        <w:tc>
          <w:tcPr>
            <w:tcW w:w="1903" w:type="dxa"/>
            <w:vMerge w:val="continue"/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$F$" w:hAnsi="$F$" w:eastAsia="宋体" w:cs="$F$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18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$F$" w:hAnsi="$F$" w:eastAsia="宋体" w:cs="$F$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219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</w:pPr>
            <w:r>
              <w:rPr>
                <w:rFonts w:ascii="$F$" w:hAnsi="$F$" w:eastAsia="宋体" w:cs="$F$"/>
                <w:color w:val="000000"/>
                <w:kern w:val="0"/>
                <w:sz w:val="18"/>
                <w:szCs w:val="18"/>
              </w:rPr>
              <w:t>38.7</w:t>
            </w:r>
          </w:p>
        </w:tc>
      </w:tr>
    </w:tbl>
    <w:p>
      <w:pPr>
        <w:tabs>
          <w:tab w:val="left" w:pos="0"/>
        </w:tabs>
        <w:ind w:left="-2" w:leftChars="-1" w:firstLine="1"/>
        <w:rPr>
          <w:rFonts w:ascii="宋体" w:hAnsi="宋体" w:eastAsia="宋体" w:cs="Times New Roman"/>
          <w:b/>
          <w:bCs/>
          <w:sz w:val="18"/>
          <w:szCs w:val="18"/>
        </w:rPr>
      </w:pPr>
      <w:commentRangeStart w:id="17"/>
      <w:r>
        <w:rPr>
          <w:rFonts w:hint="eastAsia" w:ascii="Calibri" w:hAnsi="Calibri" w:eastAsia="宋体" w:cs="Times New Roman"/>
          <w:b/>
          <w:sz w:val="18"/>
          <w:szCs w:val="18"/>
        </w:rPr>
        <w:t>空一行继续正文</w:t>
      </w:r>
      <w:commentRangeEnd w:id="17"/>
      <w:r>
        <w:rPr>
          <w:rStyle w:val="11"/>
        </w:rPr>
        <w:commentReference w:id="17"/>
      </w:r>
    </w:p>
    <w:p>
      <w:pPr>
        <w:tabs>
          <w:tab w:val="left" w:pos="0"/>
        </w:tabs>
        <w:ind w:left="-2" w:leftChars="-1" w:firstLine="1"/>
        <w:rPr>
          <w:rFonts w:ascii="宋体" w:hAnsi="宋体" w:eastAsia="宋体" w:cs="Times New Roman"/>
          <w:b/>
          <w:bCs/>
          <w:sz w:val="18"/>
          <w:szCs w:val="18"/>
        </w:rPr>
      </w:pPr>
      <w:r>
        <w:rPr>
          <w:rFonts w:hint="eastAsia" w:ascii="宋体" w:hAnsi="宋体" w:eastAsia="宋体" w:cs="Times New Roman"/>
          <w:b/>
          <w:bCs/>
          <w:sz w:val="18"/>
          <w:szCs w:val="18"/>
        </w:rPr>
        <w:t>2.3 测量步骤</w:t>
      </w:r>
    </w:p>
    <w:p>
      <w:pPr>
        <w:ind w:firstLine="307" w:firstLineChars="171"/>
        <w:rPr>
          <w:rFonts w:ascii="Calibri" w:hAnsi="Calibri" w:eastAsia="宋体" w:cs="Times New Roman"/>
          <w:sz w:val="18"/>
          <w:szCs w:val="18"/>
        </w:rPr>
      </w:pPr>
      <w:r>
        <w:rPr>
          <w:rFonts w:hint="eastAsia" w:ascii="Calibri" w:hAnsi="Calibri" w:eastAsia="宋体" w:cs="Times New Roman"/>
          <w:sz w:val="18"/>
          <w:szCs w:val="18"/>
        </w:rPr>
        <w:t>研究问卷均在受试者的听说课上发放。为保证调查结果的真实可靠，问卷均由受试按问卷的说明和要求匿名作答。笔者回收问卷后，</w:t>
      </w:r>
      <w:r>
        <w:rPr>
          <w:rFonts w:hint="eastAsia" w:ascii="宋体" w:hAnsi="宋体" w:eastAsia="宋体" w:cs="宋体"/>
          <w:kern w:val="0"/>
          <w:sz w:val="18"/>
          <w:szCs w:val="18"/>
        </w:rPr>
        <w:t>将全部测量结果输入计算机</w:t>
      </w:r>
      <w:r>
        <w:rPr>
          <w:rFonts w:hint="eastAsia" w:ascii="宋体" w:hAnsi="宋体" w:eastAsia="宋体" w:cs="A3+CAJ FNT00"/>
          <w:kern w:val="0"/>
          <w:sz w:val="18"/>
          <w:szCs w:val="18"/>
        </w:rPr>
        <w:t>，采用</w:t>
      </w:r>
      <w:r>
        <w:rPr>
          <w:rFonts w:ascii="Calibri" w:hAnsi="Calibri" w:eastAsia="宋体" w:cs="Times New Roman"/>
          <w:kern w:val="0"/>
          <w:sz w:val="18"/>
          <w:szCs w:val="18"/>
        </w:rPr>
        <w:t>SPSS</w:t>
      </w:r>
      <w:r>
        <w:rPr>
          <w:rFonts w:hint="eastAsia" w:ascii="Calibri" w:hAnsi="Calibri" w:eastAsia="宋体" w:cs="Times New Roman"/>
          <w:kern w:val="0"/>
          <w:sz w:val="18"/>
          <w:szCs w:val="18"/>
        </w:rPr>
        <w:t>（</w:t>
      </w:r>
      <w:r>
        <w:rPr>
          <w:rFonts w:ascii="Calibri" w:hAnsi="Calibri" w:eastAsia="宋体" w:cs="Times New Roman"/>
          <w:kern w:val="0"/>
          <w:sz w:val="18"/>
          <w:szCs w:val="18"/>
        </w:rPr>
        <w:t>13.0</w:t>
      </w:r>
      <w:r>
        <w:rPr>
          <w:rFonts w:hint="eastAsia" w:ascii="Calibri" w:hAnsi="Calibri" w:eastAsia="宋体" w:cs="Times New Roman"/>
          <w:kern w:val="0"/>
          <w:sz w:val="18"/>
          <w:szCs w:val="18"/>
        </w:rPr>
        <w:t>）</w:t>
      </w:r>
      <w:r>
        <w:rPr>
          <w:rFonts w:hint="eastAsia" w:ascii="宋体" w:hAnsi="宋体" w:eastAsia="宋体" w:cs="A3+CAJ FNT00"/>
          <w:kern w:val="0"/>
          <w:sz w:val="18"/>
          <w:szCs w:val="18"/>
        </w:rPr>
        <w:t>进行检验。</w:t>
      </w:r>
    </w:p>
    <w:p>
      <w:pPr>
        <w:rPr>
          <w:rFonts w:ascii="宋体" w:hAnsi="宋体"/>
          <w:sz w:val="18"/>
        </w:rPr>
      </w:pPr>
      <w:commentRangeStart w:id="18"/>
      <w:r>
        <w:rPr>
          <w:rFonts w:hint="eastAsia" w:ascii="宋体" w:hAnsi="宋体"/>
          <w:b/>
          <w:sz w:val="18"/>
        </w:rPr>
        <w:t>空一行</w:t>
      </w:r>
      <w:commentRangeEnd w:id="18"/>
      <w:r>
        <w:rPr>
          <w:rStyle w:val="11"/>
        </w:rPr>
        <w:commentReference w:id="18"/>
      </w:r>
    </w:p>
    <w:p>
      <w:pPr>
        <w:ind w:firstLine="1440" w:firstLineChars="800"/>
        <w:rPr>
          <w:rFonts w:ascii="宋体" w:hAnsi="宋体"/>
          <w:sz w:val="18"/>
        </w:rPr>
      </w:pPr>
      <w:r>
        <w:rPr>
          <w:rFonts w:ascii="宋体" w:hAnsi="宋体"/>
          <w:sz w:val="18"/>
        </w:rPr>
        <w:drawing>
          <wp:inline distT="0" distB="0" distL="0" distR="0">
            <wp:extent cx="3289300" cy="1834515"/>
            <wp:effectExtent l="0" t="0" r="0" b="0"/>
            <wp:docPr id="1" name="对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ind w:firstLine="3060" w:firstLineChars="1700"/>
        <w:rPr>
          <w:rFonts w:ascii="宋体" w:hAnsi="宋体"/>
          <w:sz w:val="18"/>
        </w:rPr>
      </w:pPr>
      <w:commentRangeStart w:id="19"/>
      <w:r>
        <w:rPr>
          <w:rFonts w:hint="eastAsia" w:ascii="宋体" w:hAnsi="宋体"/>
          <w:sz w:val="18"/>
        </w:rPr>
        <w:t>图1. XXXXXXXXXX</w:t>
      </w:r>
      <w:commentRangeEnd w:id="19"/>
      <w:r>
        <w:rPr>
          <w:rStyle w:val="11"/>
        </w:rPr>
        <w:commentReference w:id="19"/>
      </w:r>
    </w:p>
    <w:p>
      <w:pPr>
        <w:rPr>
          <w:rFonts w:ascii="宋体" w:hAnsi="宋体"/>
          <w:sz w:val="18"/>
        </w:rPr>
      </w:pPr>
      <w:commentRangeStart w:id="20"/>
      <w:r>
        <w:rPr>
          <w:rFonts w:hint="eastAsia" w:ascii="宋体" w:hAnsi="宋体"/>
          <w:sz w:val="18"/>
        </w:rPr>
        <w:t>空一行</w:t>
      </w:r>
      <w:commentRangeEnd w:id="20"/>
      <w:r>
        <w:rPr>
          <w:rStyle w:val="11"/>
        </w:rPr>
        <w:commentReference w:id="20"/>
      </w:r>
    </w:p>
    <w:p>
      <w:pPr>
        <w:ind w:firstLine="270" w:firstLineChars="150"/>
        <w:rPr>
          <w:rFonts w:ascii="Calibri" w:hAnsi="Calibri" w:eastAsia="宋体" w:cs="Times New Roman"/>
          <w:sz w:val="18"/>
          <w:szCs w:val="18"/>
        </w:rPr>
      </w:pPr>
    </w:p>
    <w:p>
      <w:pPr>
        <w:rPr>
          <w:rFonts w:ascii="Calibri" w:hAnsi="Calibri" w:eastAsia="黑体" w:cs="Times New Roman"/>
          <w:b/>
          <w:szCs w:val="21"/>
        </w:rPr>
      </w:pPr>
      <w:commentRangeStart w:id="21"/>
      <w:r>
        <w:rPr>
          <w:rFonts w:hint="eastAsia" w:ascii="Calibri" w:hAnsi="Calibri" w:eastAsia="黑体" w:cs="Times New Roman"/>
          <w:b/>
          <w:szCs w:val="21"/>
        </w:rPr>
        <w:t>参考文献</w:t>
      </w:r>
      <w:commentRangeEnd w:id="21"/>
      <w:r>
        <w:rPr>
          <w:rStyle w:val="11"/>
        </w:rPr>
        <w:commentReference w:id="21"/>
      </w:r>
    </w:p>
    <w:p>
      <w:pPr>
        <w:numPr>
          <w:ilvl w:val="0"/>
          <w:numId w:val="2"/>
        </w:numPr>
        <w:tabs>
          <w:tab w:val="left" w:pos="540"/>
          <w:tab w:val="clear" w:pos="839"/>
        </w:tabs>
        <w:ind w:left="540" w:hanging="540"/>
        <w:rPr>
          <w:rFonts w:ascii="Calibri" w:hAnsi="Calibri" w:eastAsia="宋体" w:cs="Times New Roman"/>
          <w:sz w:val="18"/>
          <w:szCs w:val="18"/>
        </w:rPr>
      </w:pPr>
      <w:commentRangeStart w:id="22"/>
      <w:r>
        <w:rPr>
          <w:rFonts w:hint="eastAsia" w:ascii="Calibri" w:hAnsi="Calibri" w:eastAsia="宋体" w:cs="Times New Roman"/>
          <w:sz w:val="18"/>
          <w:szCs w:val="18"/>
        </w:rPr>
        <w:t>Aida, Y. Examination of Horwitz, Horwitz, and Cope</w:t>
      </w:r>
      <w:r>
        <w:rPr>
          <w:rFonts w:ascii="Calibri" w:hAnsi="Calibri" w:eastAsia="宋体" w:cs="Times New Roman"/>
          <w:sz w:val="18"/>
          <w:szCs w:val="18"/>
        </w:rPr>
        <w:t>’</w:t>
      </w:r>
      <w:r>
        <w:rPr>
          <w:rFonts w:hint="eastAsia" w:ascii="Calibri" w:hAnsi="Calibri" w:eastAsia="宋体" w:cs="Times New Roman"/>
          <w:sz w:val="18"/>
          <w:szCs w:val="18"/>
        </w:rPr>
        <w:t>s construct of foreign language anxiety: The case of students of Japanese [J</w:t>
      </w:r>
      <w:r>
        <w:rPr>
          <w:rFonts w:ascii="Calibri" w:hAnsi="Calibri" w:eastAsia="宋体" w:cs="Times New Roman"/>
          <w:sz w:val="18"/>
          <w:szCs w:val="18"/>
        </w:rPr>
        <w:t>]</w:t>
      </w:r>
      <w:r>
        <w:rPr>
          <w:rFonts w:hint="eastAsia" w:ascii="Calibri" w:hAnsi="Calibri" w:eastAsia="宋体" w:cs="Times New Roman"/>
          <w:sz w:val="18"/>
          <w:szCs w:val="18"/>
        </w:rPr>
        <w:t xml:space="preserve">. </w:t>
      </w:r>
      <w:r>
        <w:rPr>
          <w:rFonts w:hint="eastAsia" w:ascii="Calibri" w:hAnsi="Calibri" w:eastAsia="宋体" w:cs="Times New Roman"/>
          <w:i/>
          <w:sz w:val="18"/>
          <w:szCs w:val="18"/>
        </w:rPr>
        <w:t>The Modern Language Journal</w:t>
      </w:r>
      <w:r>
        <w:rPr>
          <w:rFonts w:hint="eastAsia" w:ascii="Calibri" w:hAnsi="Calibri" w:eastAsia="宋体" w:cs="Times New Roman"/>
          <w:sz w:val="18"/>
          <w:szCs w:val="18"/>
        </w:rPr>
        <w:t>, 1994, 78(2): 155-168.</w:t>
      </w:r>
      <w:commentRangeEnd w:id="22"/>
      <w:r>
        <w:rPr>
          <w:rStyle w:val="11"/>
        </w:rPr>
        <w:commentReference w:id="22"/>
      </w:r>
    </w:p>
    <w:p>
      <w:pPr>
        <w:numPr>
          <w:ilvl w:val="0"/>
          <w:numId w:val="2"/>
        </w:numPr>
        <w:tabs>
          <w:tab w:val="left" w:pos="540"/>
          <w:tab w:val="clear" w:pos="839"/>
        </w:tabs>
        <w:ind w:left="540" w:hanging="540"/>
        <w:rPr>
          <w:rFonts w:ascii="Calibri" w:hAnsi="Calibri" w:eastAsia="宋体" w:cs="Times New Roman"/>
          <w:sz w:val="18"/>
          <w:szCs w:val="18"/>
        </w:rPr>
      </w:pPr>
      <w:r>
        <w:rPr>
          <w:rFonts w:hint="eastAsia" w:ascii="Calibri" w:hAnsi="Calibri" w:eastAsia="宋体" w:cs="Times New Roman"/>
          <w:sz w:val="18"/>
          <w:szCs w:val="18"/>
          <w:lang w:val="de-DE"/>
        </w:rPr>
        <w:t xml:space="preserve">Cheng, Y. S.，E. K. Horwitz &amp; D. L. Schallert. </w:t>
      </w:r>
      <w:r>
        <w:rPr>
          <w:rFonts w:hint="eastAsia" w:ascii="Calibri" w:hAnsi="Calibri" w:eastAsia="宋体" w:cs="Times New Roman"/>
          <w:sz w:val="18"/>
          <w:szCs w:val="18"/>
        </w:rPr>
        <w:t xml:space="preserve">Language anxiety: Differentiating writing and speaking components [J]. </w:t>
      </w:r>
      <w:r>
        <w:rPr>
          <w:rFonts w:hint="eastAsia" w:ascii="Calibri" w:hAnsi="Calibri" w:eastAsia="宋体" w:cs="Times New Roman"/>
          <w:i/>
          <w:sz w:val="18"/>
          <w:szCs w:val="18"/>
        </w:rPr>
        <w:t>Language Learning</w:t>
      </w:r>
      <w:r>
        <w:rPr>
          <w:rFonts w:hint="eastAsia" w:ascii="Calibri" w:hAnsi="Calibri" w:eastAsia="宋体" w:cs="Times New Roman"/>
          <w:sz w:val="18"/>
          <w:szCs w:val="18"/>
        </w:rPr>
        <w:t>, 1999, 49(3): 417-446．</w:t>
      </w:r>
    </w:p>
    <w:p>
      <w:pPr>
        <w:numPr>
          <w:ilvl w:val="0"/>
          <w:numId w:val="2"/>
        </w:numPr>
        <w:tabs>
          <w:tab w:val="left" w:pos="540"/>
          <w:tab w:val="clear" w:pos="839"/>
        </w:tabs>
        <w:ind w:left="540" w:hanging="540"/>
        <w:rPr>
          <w:rStyle w:val="17"/>
          <w:rFonts w:ascii="Calibri" w:hAnsi="Calibri" w:eastAsia="宋体" w:cs="Times New Roman"/>
          <w:sz w:val="18"/>
          <w:szCs w:val="18"/>
        </w:rPr>
      </w:pPr>
      <w:commentRangeStart w:id="23"/>
      <w:r>
        <w:rPr>
          <w:rFonts w:ascii="Calibri" w:hAnsi="Calibri" w:eastAsia="宋体" w:cs="Times New Roman"/>
          <w:sz w:val="18"/>
          <w:szCs w:val="18"/>
        </w:rPr>
        <w:t>Clément, R., Gardner,</w:t>
      </w:r>
      <w:r>
        <w:rPr>
          <w:rFonts w:hint="eastAsia" w:ascii="Calibri" w:hAnsi="Calibri" w:eastAsia="宋体" w:cs="Times New Roman"/>
          <w:sz w:val="18"/>
          <w:szCs w:val="18"/>
        </w:rPr>
        <w:t xml:space="preserve"> </w:t>
      </w:r>
      <w:r>
        <w:rPr>
          <w:rFonts w:ascii="Calibri" w:hAnsi="Calibri" w:eastAsia="宋体" w:cs="Times New Roman"/>
          <w:sz w:val="18"/>
          <w:szCs w:val="18"/>
        </w:rPr>
        <w:t>R. C.</w:t>
      </w:r>
      <w:r>
        <w:rPr>
          <w:rFonts w:hint="eastAsia" w:ascii="Calibri" w:hAnsi="Calibri" w:eastAsia="宋体" w:cs="Times New Roman"/>
          <w:sz w:val="18"/>
          <w:szCs w:val="18"/>
        </w:rPr>
        <w:t xml:space="preserve"> , </w:t>
      </w:r>
      <w:r>
        <w:rPr>
          <w:rFonts w:ascii="Calibri" w:hAnsi="Calibri" w:eastAsia="宋体" w:cs="Times New Roman"/>
          <w:sz w:val="18"/>
          <w:szCs w:val="18"/>
        </w:rPr>
        <w:t>&amp; Smythe</w:t>
      </w:r>
      <w:r>
        <w:rPr>
          <w:rFonts w:hint="eastAsia" w:ascii="Calibri" w:hAnsi="Calibri" w:eastAsia="宋体" w:cs="Times New Roman"/>
          <w:sz w:val="18"/>
          <w:szCs w:val="18"/>
        </w:rPr>
        <w:t>,</w:t>
      </w:r>
      <w:r>
        <w:rPr>
          <w:rFonts w:ascii="Calibri" w:hAnsi="Calibri" w:eastAsia="宋体" w:cs="Times New Roman"/>
          <w:sz w:val="18"/>
          <w:szCs w:val="18"/>
        </w:rPr>
        <w:t xml:space="preserve"> P. C.</w:t>
      </w:r>
      <w:r>
        <w:rPr>
          <w:rFonts w:hint="eastAsia" w:ascii="Calibri" w:hAnsi="Calibri" w:eastAsia="宋体" w:cs="Times New Roman"/>
          <w:sz w:val="18"/>
          <w:szCs w:val="18"/>
        </w:rPr>
        <w:t>.</w:t>
      </w:r>
      <w:commentRangeEnd w:id="23"/>
      <w:r>
        <w:rPr>
          <w:rStyle w:val="11"/>
        </w:rPr>
        <w:commentReference w:id="23"/>
      </w:r>
      <w:r>
        <w:rPr>
          <w:rFonts w:ascii="Calibri" w:hAnsi="Calibri" w:eastAsia="宋体" w:cs="Times New Roman"/>
          <w:sz w:val="18"/>
          <w:szCs w:val="18"/>
        </w:rPr>
        <w:t xml:space="preserve"> Social and individual factors</w:t>
      </w:r>
      <w:r>
        <w:rPr>
          <w:rFonts w:hint="eastAsia" w:ascii="Calibri" w:hAnsi="Calibri" w:eastAsia="宋体" w:cs="Times New Roman"/>
          <w:sz w:val="18"/>
          <w:szCs w:val="18"/>
        </w:rPr>
        <w:t xml:space="preserve"> </w:t>
      </w:r>
      <w:r>
        <w:rPr>
          <w:rFonts w:ascii="Calibri" w:hAnsi="Calibri" w:eastAsia="宋体" w:cs="Times New Roman"/>
          <w:sz w:val="18"/>
          <w:szCs w:val="18"/>
        </w:rPr>
        <w:t>in second language acquisition</w:t>
      </w:r>
      <w:r>
        <w:rPr>
          <w:rFonts w:hint="eastAsia" w:ascii="Calibri" w:hAnsi="Calibri" w:eastAsia="宋体" w:cs="Times New Roman"/>
          <w:sz w:val="18"/>
          <w:szCs w:val="18"/>
        </w:rPr>
        <w:t xml:space="preserve"> [J]</w:t>
      </w:r>
      <w:r>
        <w:rPr>
          <w:rFonts w:ascii="Calibri" w:hAnsi="Calibri" w:eastAsia="宋体" w:cs="Times New Roman"/>
          <w:sz w:val="18"/>
          <w:szCs w:val="18"/>
        </w:rPr>
        <w:t xml:space="preserve">. </w:t>
      </w:r>
      <w:r>
        <w:rPr>
          <w:rFonts w:ascii="Calibri" w:hAnsi="Calibri" w:eastAsia="宋体" w:cs="Times New Roman"/>
          <w:i/>
          <w:sz w:val="18"/>
          <w:szCs w:val="18"/>
        </w:rPr>
        <w:t>Canadian Journal of Behavioural</w:t>
      </w:r>
      <w:r>
        <w:rPr>
          <w:rFonts w:hint="eastAsia" w:ascii="Calibri" w:hAnsi="Calibri" w:eastAsia="宋体" w:cs="Times New Roman"/>
          <w:i/>
          <w:sz w:val="18"/>
          <w:szCs w:val="18"/>
        </w:rPr>
        <w:t xml:space="preserve"> </w:t>
      </w:r>
      <w:r>
        <w:rPr>
          <w:rFonts w:ascii="Calibri" w:hAnsi="Calibri" w:eastAsia="宋体" w:cs="Times New Roman"/>
          <w:i/>
          <w:sz w:val="18"/>
          <w:szCs w:val="18"/>
        </w:rPr>
        <w:t>Science</w:t>
      </w:r>
      <w:r>
        <w:rPr>
          <w:rFonts w:ascii="Calibri" w:hAnsi="Calibri" w:eastAsia="宋体" w:cs="Times New Roman"/>
          <w:sz w:val="18"/>
          <w:szCs w:val="18"/>
        </w:rPr>
        <w:t xml:space="preserve">, </w:t>
      </w:r>
      <w:r>
        <w:rPr>
          <w:rFonts w:hint="eastAsia" w:ascii="Calibri" w:hAnsi="Calibri" w:eastAsia="宋体" w:cs="Times New Roman"/>
          <w:sz w:val="18"/>
          <w:szCs w:val="18"/>
        </w:rPr>
        <w:t xml:space="preserve">1980, </w:t>
      </w:r>
      <w:r>
        <w:rPr>
          <w:rFonts w:ascii="Calibri" w:hAnsi="Calibri" w:eastAsia="宋体" w:cs="Times New Roman"/>
          <w:sz w:val="18"/>
          <w:szCs w:val="18"/>
        </w:rPr>
        <w:t>12</w:t>
      </w:r>
      <w:r>
        <w:rPr>
          <w:rFonts w:hint="eastAsia" w:ascii="Calibri" w:hAnsi="Calibri" w:eastAsia="宋体" w:cs="Times New Roman"/>
          <w:sz w:val="18"/>
          <w:szCs w:val="18"/>
        </w:rPr>
        <w:t xml:space="preserve"> (4)</w:t>
      </w:r>
      <w:r>
        <w:rPr>
          <w:rFonts w:ascii="Calibri" w:hAnsi="Calibri" w:eastAsia="宋体" w:cs="Times New Roman"/>
          <w:sz w:val="18"/>
          <w:szCs w:val="18"/>
        </w:rPr>
        <w:t>, 293–302.</w:t>
      </w:r>
    </w:p>
    <w:p>
      <w:pPr>
        <w:numPr>
          <w:ilvl w:val="0"/>
          <w:numId w:val="2"/>
        </w:numPr>
        <w:tabs>
          <w:tab w:val="left" w:pos="540"/>
          <w:tab w:val="clear" w:pos="839"/>
        </w:tabs>
        <w:ind w:left="540" w:hanging="540"/>
        <w:rPr>
          <w:rFonts w:ascii="Calibri" w:hAnsi="Calibri" w:eastAsia="宋体" w:cs="Times New Roman"/>
          <w:sz w:val="18"/>
          <w:szCs w:val="18"/>
        </w:rPr>
      </w:pPr>
      <w:r>
        <w:rPr>
          <w:rFonts w:hint="eastAsia" w:ascii="Calibri" w:hAnsi="Calibri" w:eastAsia="宋体" w:cs="Times New Roman"/>
          <w:sz w:val="18"/>
          <w:szCs w:val="18"/>
        </w:rPr>
        <w:t xml:space="preserve">Elkhafaifi, H. </w:t>
      </w:r>
      <w:commentRangeStart w:id="24"/>
      <w:r>
        <w:rPr>
          <w:rFonts w:hint="eastAsia" w:ascii="Calibri" w:hAnsi="Calibri" w:eastAsia="宋体" w:cs="Times New Roman"/>
          <w:sz w:val="18"/>
          <w:szCs w:val="18"/>
        </w:rPr>
        <w:t>Listening comprehension and anxiety in the Arabic language classroom [J]</w:t>
      </w:r>
      <w:commentRangeEnd w:id="24"/>
      <w:r>
        <w:rPr>
          <w:rStyle w:val="11"/>
        </w:rPr>
        <w:commentReference w:id="24"/>
      </w:r>
      <w:r>
        <w:rPr>
          <w:rFonts w:hint="eastAsia" w:ascii="Calibri" w:hAnsi="Calibri" w:eastAsia="宋体" w:cs="Times New Roman"/>
          <w:sz w:val="18"/>
          <w:szCs w:val="18"/>
        </w:rPr>
        <w:t>．</w:t>
      </w:r>
      <w:commentRangeStart w:id="25"/>
      <w:r>
        <w:rPr>
          <w:rFonts w:hint="eastAsia" w:ascii="Calibri" w:hAnsi="Calibri" w:eastAsia="宋体" w:cs="Times New Roman"/>
          <w:i/>
          <w:sz w:val="18"/>
          <w:szCs w:val="18"/>
        </w:rPr>
        <w:t>Modern Language Journal</w:t>
      </w:r>
      <w:r>
        <w:rPr>
          <w:rFonts w:hint="eastAsia" w:ascii="Calibri" w:hAnsi="Calibri" w:eastAsia="宋体" w:cs="Times New Roman"/>
          <w:sz w:val="18"/>
          <w:szCs w:val="18"/>
        </w:rPr>
        <w:t>, 2005, 89 (2): 206-222.</w:t>
      </w:r>
      <w:commentRangeEnd w:id="25"/>
      <w:r>
        <w:rPr>
          <w:rStyle w:val="11"/>
        </w:rPr>
        <w:commentReference w:id="25"/>
      </w:r>
    </w:p>
    <w:p>
      <w:pPr>
        <w:numPr>
          <w:ilvl w:val="0"/>
          <w:numId w:val="2"/>
        </w:numPr>
        <w:tabs>
          <w:tab w:val="left" w:pos="540"/>
          <w:tab w:val="clear" w:pos="839"/>
        </w:tabs>
        <w:ind w:left="540" w:hanging="540"/>
        <w:rPr>
          <w:rFonts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Liu, M.</w:t>
      </w:r>
      <w:r>
        <w:rPr>
          <w:rFonts w:hint="eastAsia" w:ascii="Calibri" w:hAnsi="Calibri" w:eastAsia="宋体" w:cs="Times New Roman"/>
          <w:sz w:val="18"/>
          <w:szCs w:val="18"/>
        </w:rPr>
        <w:t xml:space="preserve"> &amp;</w:t>
      </w:r>
      <w:r>
        <w:rPr>
          <w:rFonts w:ascii="Calibri" w:hAnsi="Calibri" w:eastAsia="宋体" w:cs="Times New Roman"/>
          <w:sz w:val="18"/>
          <w:szCs w:val="18"/>
        </w:rPr>
        <w:t xml:space="preserve"> J.</w:t>
      </w:r>
      <w:r>
        <w:rPr>
          <w:rFonts w:hint="eastAsia" w:ascii="Calibri" w:hAnsi="Calibri" w:eastAsia="宋体" w:cs="Times New Roman"/>
          <w:sz w:val="18"/>
          <w:szCs w:val="18"/>
        </w:rPr>
        <w:t xml:space="preserve"> </w:t>
      </w:r>
      <w:r>
        <w:rPr>
          <w:rFonts w:ascii="Calibri" w:hAnsi="Calibri" w:eastAsia="宋体" w:cs="Times New Roman"/>
          <w:sz w:val="18"/>
          <w:szCs w:val="18"/>
        </w:rPr>
        <w:t>Jackson</w:t>
      </w:r>
      <w:r>
        <w:rPr>
          <w:rFonts w:hint="eastAsia" w:ascii="Calibri" w:hAnsi="Calibri" w:eastAsia="宋体" w:cs="Times New Roman"/>
          <w:sz w:val="18"/>
          <w:szCs w:val="18"/>
        </w:rPr>
        <w:t xml:space="preserve">. </w:t>
      </w:r>
      <w:r>
        <w:rPr>
          <w:rFonts w:ascii="Calibri" w:hAnsi="Calibri" w:eastAsia="宋体" w:cs="Times New Roman"/>
          <w:sz w:val="18"/>
          <w:szCs w:val="18"/>
        </w:rPr>
        <w:t>An exploration of Chinese EFL learners’ unwillingness to communicate and foreign language anxiety</w:t>
      </w:r>
      <w:r>
        <w:rPr>
          <w:rFonts w:hint="eastAsia" w:ascii="Calibri" w:hAnsi="Calibri" w:eastAsia="宋体" w:cs="Times New Roman"/>
          <w:sz w:val="18"/>
          <w:szCs w:val="18"/>
        </w:rPr>
        <w:t xml:space="preserve"> [J]</w:t>
      </w:r>
      <w:r>
        <w:rPr>
          <w:rFonts w:ascii="Calibri" w:hAnsi="Calibri" w:eastAsia="宋体" w:cs="Times New Roman"/>
          <w:sz w:val="18"/>
          <w:szCs w:val="18"/>
        </w:rPr>
        <w:t xml:space="preserve">. </w:t>
      </w:r>
      <w:r>
        <w:rPr>
          <w:rFonts w:ascii="Calibri" w:hAnsi="Calibri" w:eastAsia="宋体" w:cs="Times New Roman"/>
          <w:i/>
          <w:sz w:val="18"/>
          <w:szCs w:val="18"/>
        </w:rPr>
        <w:t>Modern</w:t>
      </w:r>
      <w:r>
        <w:rPr>
          <w:rFonts w:hint="eastAsia" w:ascii="Calibri" w:hAnsi="Calibri" w:eastAsia="宋体" w:cs="Times New Roman"/>
          <w:i/>
          <w:sz w:val="18"/>
          <w:szCs w:val="18"/>
        </w:rPr>
        <w:t xml:space="preserve"> </w:t>
      </w:r>
      <w:r>
        <w:rPr>
          <w:rFonts w:ascii="Calibri" w:hAnsi="Calibri" w:eastAsia="宋体" w:cs="Times New Roman"/>
          <w:i/>
          <w:sz w:val="18"/>
          <w:szCs w:val="18"/>
        </w:rPr>
        <w:t>Language Journal</w:t>
      </w:r>
      <w:r>
        <w:rPr>
          <w:rFonts w:hint="eastAsia" w:ascii="Calibri" w:hAnsi="Calibri" w:eastAsia="宋体" w:cs="Times New Roman"/>
          <w:sz w:val="18"/>
          <w:szCs w:val="18"/>
        </w:rPr>
        <w:t>, 2008,</w:t>
      </w:r>
      <w:r>
        <w:rPr>
          <w:rFonts w:ascii="Calibri" w:hAnsi="Calibri" w:eastAsia="宋体" w:cs="Times New Roman"/>
          <w:sz w:val="18"/>
          <w:szCs w:val="18"/>
        </w:rPr>
        <w:t xml:space="preserve"> 92 (1), 71</w:t>
      </w:r>
      <w:r>
        <w:rPr>
          <w:rFonts w:hint="eastAsia" w:ascii="Calibri" w:hAnsi="Calibri" w:eastAsia="宋体" w:cs="Times New Roman"/>
          <w:sz w:val="18"/>
          <w:szCs w:val="18"/>
        </w:rPr>
        <w:t>-</w:t>
      </w:r>
      <w:r>
        <w:rPr>
          <w:rFonts w:ascii="Calibri" w:hAnsi="Calibri" w:eastAsia="宋体" w:cs="Times New Roman"/>
          <w:sz w:val="18"/>
          <w:szCs w:val="18"/>
        </w:rPr>
        <w:t>86.</w:t>
      </w:r>
    </w:p>
    <w:p>
      <w:pPr>
        <w:numPr>
          <w:ilvl w:val="0"/>
          <w:numId w:val="2"/>
        </w:numPr>
        <w:tabs>
          <w:tab w:val="left" w:pos="540"/>
          <w:tab w:val="clear" w:pos="839"/>
        </w:tabs>
        <w:ind w:left="540" w:hanging="540"/>
        <w:rPr>
          <w:rFonts w:ascii="宋体" w:hAnsi="宋体" w:eastAsia="宋体" w:cs="Times New Roman"/>
          <w:sz w:val="18"/>
          <w:szCs w:val="18"/>
        </w:rPr>
      </w:pPr>
      <w:r>
        <w:rPr>
          <w:rFonts w:ascii="宋体" w:hAnsi="宋体" w:eastAsia="宋体" w:cs="Times New Roman"/>
          <w:sz w:val="18"/>
          <w:szCs w:val="18"/>
        </w:rPr>
        <w:t>程建华</w:t>
      </w:r>
      <w:r>
        <w:rPr>
          <w:rFonts w:hint="eastAsia" w:ascii="宋体" w:hAnsi="宋体" w:eastAsia="宋体" w:cs="Times New Roman"/>
          <w:sz w:val="18"/>
          <w:szCs w:val="18"/>
        </w:rPr>
        <w:t>. 农村学生外语学习焦虑探究 [J]，发展，2011（5）：130。</w:t>
      </w:r>
    </w:p>
    <w:p>
      <w:pPr>
        <w:numPr>
          <w:ilvl w:val="0"/>
          <w:numId w:val="2"/>
        </w:numPr>
        <w:tabs>
          <w:tab w:val="left" w:pos="540"/>
          <w:tab w:val="clear" w:pos="839"/>
        </w:tabs>
        <w:ind w:left="540" w:hanging="540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</w:rPr>
        <w:t>刘梅华，沈明波. 外语课堂中的焦虑研究 [J]，清华大学学报（哲学社会科学版），2004增（1）：100-104。</w:t>
      </w:r>
    </w:p>
    <w:p>
      <w:pPr>
        <w:numPr>
          <w:ilvl w:val="0"/>
          <w:numId w:val="2"/>
        </w:numPr>
        <w:tabs>
          <w:tab w:val="left" w:pos="540"/>
          <w:tab w:val="clear" w:pos="839"/>
        </w:tabs>
        <w:ind w:left="540" w:hanging="540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</w:rPr>
        <w:t>王才康. 外语焦虑量表（FLCAS）在大学生中的测试报告［J］。心理科学，2003（2）：281-284。</w:t>
      </w:r>
    </w:p>
    <w:p>
      <w:pPr>
        <w:numPr>
          <w:ilvl w:val="0"/>
          <w:numId w:val="2"/>
        </w:numPr>
        <w:tabs>
          <w:tab w:val="left" w:pos="540"/>
          <w:tab w:val="clear" w:pos="839"/>
        </w:tabs>
        <w:ind w:left="540" w:hanging="540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</w:rPr>
        <w:t>殷红梅，王颖，刘开泰. 非英语专业硕士研究生英语学习焦虑状况调查 [J]，中国公共卫生，2012，28（6）：808-809。</w:t>
      </w:r>
    </w:p>
    <w:p>
      <w:pPr>
        <w:rPr>
          <w:rFonts w:ascii="宋体" w:hAnsi="宋体" w:eastAsia="宋体" w:cs="Times New Roman"/>
        </w:rPr>
      </w:pPr>
    </w:p>
    <w:p>
      <w:pPr>
        <w:rPr>
          <w:rFonts w:ascii="Times New Roman" w:hAnsi="Times New Roman" w:cs="Times New Roman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enovo" w:date="2020-01-07T22:21:00Z" w:initials="l">
    <w:p w14:paraId="6793469C">
      <w:pPr>
        <w:pStyle w:val="2"/>
      </w:pPr>
      <w:r>
        <w:rPr>
          <w:rFonts w:hint="eastAsia"/>
        </w:rPr>
        <w:t>论文中文题目,四号,加粗,黑体; 如果是科研项目，在标题后上标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>，并在首页脚注中说明项目名称、编号等必要信息。脚注从“引用”中进入，点“下一条脚注”。</w:t>
      </w:r>
    </w:p>
  </w:comment>
  <w:comment w:id="1" w:author="lenovo" w:date="2019-12-28T18:09:00Z" w:initials="l">
    <w:p w14:paraId="31666D1C">
      <w:pPr>
        <w:jc w:val="center"/>
        <w:rPr>
          <w:rFonts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论文英文题目，四号，加粗，Times New Roman。书名用斜体字；余同上。</w:t>
      </w:r>
    </w:p>
  </w:comment>
  <w:comment w:id="2" w:author="lenovo" w:date="2019-12-28T10:48:00Z" w:initials="l">
    <w:p w14:paraId="59277B44">
      <w:pPr>
        <w:pStyle w:val="2"/>
        <w:rPr>
          <w:rFonts w:eastAsia="仿宋_GB2312"/>
          <w:sz w:val="18"/>
        </w:rPr>
      </w:pPr>
      <w:r>
        <w:rPr>
          <w:rFonts w:hint="eastAsia" w:eastAsia="仿宋_GB2312"/>
          <w:sz w:val="18"/>
        </w:rPr>
        <w:t>单位：学校与学院（系、部）之间不空格； 空两格 作者, 数个作者, 每个作者间空一格，小五，仿宋_GB2312，居中，不加括号；另一单位 另起一行；单倍行距。</w:t>
      </w:r>
    </w:p>
  </w:comment>
  <w:comment w:id="3" w:author="lenovo" w:date="2019-12-29T08:23:00Z" w:initials="l">
    <w:p w14:paraId="41394DFA">
      <w:pPr>
        <w:rPr>
          <w:rFonts w:ascii="宋体" w:hAnsi="宋体"/>
          <w:sz w:val="18"/>
        </w:rPr>
      </w:pPr>
      <w:r>
        <w:rPr>
          <w:rFonts w:hint="eastAsia" w:ascii="宋体" w:hAnsi="宋体"/>
          <w:b/>
          <w:bCs/>
          <w:sz w:val="18"/>
        </w:rPr>
        <w:t>中文摘要：标题加重，小五，宋体，</w:t>
      </w:r>
      <w:r>
        <w:rPr>
          <w:rFonts w:hint="eastAsia" w:ascii="宋体" w:hAnsi="宋体"/>
          <w:sz w:val="18"/>
        </w:rPr>
        <w:t>“摘要”两字间空一汉字格。内容为研究目的、理论模式（如果必要）、研究背景、研究方法、结果、讨论、结论。要有本文具体内容，避免空洞套语、抄录背景介绍、举例。150-200字，小五，宋体；单倍行距。</w:t>
      </w:r>
    </w:p>
  </w:comment>
  <w:comment w:id="4" w:author="lenovo" w:date="2019-12-29T08:26:00Z" w:initials="l">
    <w:p w14:paraId="3AEF3AC7">
      <w:pPr>
        <w:pStyle w:val="2"/>
      </w:pPr>
      <w:r>
        <w:rPr>
          <w:rFonts w:hint="eastAsia"/>
        </w:rPr>
        <w:t>中文关键词：在“摘要”下不空行；</w:t>
      </w:r>
      <w:r>
        <w:rPr>
          <w:rFonts w:hint="eastAsia" w:ascii="宋体" w:hAnsi="宋体"/>
          <w:sz w:val="18"/>
        </w:rPr>
        <w:t>3-5个，小五，宋体，每词之间空一格，不加标点。</w:t>
      </w:r>
    </w:p>
  </w:comment>
  <w:comment w:id="5" w:author="lenovo" w:date="2019-12-28T10:49:00Z" w:initials="l">
    <w:p w14:paraId="7CAE7FF1">
      <w:pPr>
        <w:pStyle w:val="2"/>
      </w:pPr>
      <w:r>
        <w:rPr>
          <w:rFonts w:hint="eastAsia"/>
        </w:rPr>
        <w:t>英文“Abstract”：</w:t>
      </w:r>
      <w:r>
        <w:rPr>
          <w:rFonts w:hint="eastAsia" w:ascii="宋体" w:hAnsi="宋体"/>
          <w:sz w:val="18"/>
        </w:rPr>
        <w:t>小五，Times New Roman；单倍行距。</w:t>
      </w:r>
    </w:p>
  </w:comment>
  <w:comment w:id="6" w:author="lenovo" w:date="2019-12-28T10:50:00Z" w:initials="l">
    <w:p w14:paraId="3E160E9C">
      <w:pPr>
        <w:pStyle w:val="2"/>
      </w:pPr>
      <w:r>
        <w:rPr>
          <w:rFonts w:hint="eastAsia"/>
        </w:rPr>
        <w:t>英文“Keywords”：</w:t>
      </w:r>
      <w:r>
        <w:rPr>
          <w:rFonts w:hint="eastAsia" w:ascii="宋体" w:hAnsi="宋体"/>
          <w:sz w:val="18"/>
        </w:rPr>
        <w:t>Times New Roman，小五，每词之间空一格，不加标点。</w:t>
      </w:r>
    </w:p>
  </w:comment>
  <w:comment w:id="7" w:author="lenovo" w:date="2019-12-29T08:30:00Z" w:initials="l">
    <w:p w14:paraId="527F46C8">
      <w:pPr>
        <w:pStyle w:val="2"/>
      </w:pPr>
      <w:r>
        <w:rPr>
          <w:rFonts w:hint="eastAsia" w:ascii="黑体" w:hAnsi="宋体" w:eastAsia="黑体"/>
          <w:sz w:val="24"/>
        </w:rPr>
        <w:t>一级节标题：加重，顿号，小四，黑体，加粗，顶格</w:t>
      </w:r>
    </w:p>
  </w:comment>
  <w:comment w:id="8" w:author="lenovo" w:date="2019-12-29T08:31:00Z" w:initials="l">
    <w:p w14:paraId="1C4A3C64">
      <w:pPr>
        <w:pStyle w:val="2"/>
      </w:pPr>
      <w:r>
        <w:rPr>
          <w:rFonts w:hint="eastAsia" w:ascii="黑体" w:hAnsi="宋体" w:eastAsia="黑体"/>
          <w:sz w:val="18"/>
          <w:szCs w:val="18"/>
        </w:rPr>
        <w:t>二级节标题：加重，小数点，小五，宋体，顶格</w:t>
      </w:r>
    </w:p>
  </w:comment>
  <w:comment w:id="9" w:author="lenovo" w:date="2019-12-29T08:32:00Z" w:initials="l">
    <w:p w14:paraId="47D815CC">
      <w:pPr>
        <w:pStyle w:val="2"/>
      </w:pPr>
      <w:r>
        <w:rPr>
          <w:rFonts w:hint="eastAsia"/>
        </w:rPr>
        <w:t>三级节标题：加重，小数点，小五，宋体，顶格</w:t>
      </w:r>
    </w:p>
  </w:comment>
  <w:comment w:id="10" w:author="lenovo" w:date="2019-12-29T09:18:00Z" w:initials="l">
    <w:p w14:paraId="7328576F">
      <w:pPr>
        <w:pStyle w:val="2"/>
      </w:pPr>
      <w:r>
        <w:rPr>
          <w:rFonts w:hint="eastAsia"/>
        </w:rPr>
        <w:t>三级节标题：加重，小数点，小五，宋体，顶格</w:t>
      </w:r>
    </w:p>
  </w:comment>
  <w:comment w:id="11" w:author="lenovo" w:date="2020-01-07T22:35:00Z" w:initials="l">
    <w:p w14:paraId="4F664D72">
      <w:pPr>
        <w:pStyle w:val="2"/>
      </w:pPr>
      <w:r>
        <w:rPr>
          <w:rFonts w:hint="eastAsia"/>
        </w:rPr>
        <w:t>正文：</w:t>
      </w:r>
      <w:r>
        <w:rPr>
          <w:rFonts w:hint="eastAsia" w:ascii="宋体" w:hAnsi="宋体"/>
          <w:b/>
          <w:bCs/>
          <w:sz w:val="18"/>
        </w:rPr>
        <w:t>小五，宋体，正文首行缩进2汉字，单倍行距。</w:t>
      </w:r>
    </w:p>
  </w:comment>
  <w:comment w:id="12" w:author="lenovo" w:date="2020-01-07T22:33:00Z" w:initials="l">
    <w:p w14:paraId="73F40B82">
      <w:pPr>
        <w:pStyle w:val="2"/>
      </w:pPr>
      <w:r>
        <w:rPr>
          <w:rFonts w:hint="eastAsia" w:ascii="宋体" w:hAnsi="宋体"/>
          <w:b/>
          <w:sz w:val="18"/>
        </w:rPr>
        <w:t>多个文献同时列出时，按文献发表顺序排；同一年的，按姓氏首字母顺序排；先英文，后中文。</w:t>
      </w:r>
    </w:p>
  </w:comment>
  <w:comment w:id="13" w:author="lenovo" w:date="2020-01-07T22:35:00Z" w:initials="l">
    <w:p w14:paraId="16B27C3D">
      <w:pPr>
        <w:pStyle w:val="2"/>
      </w:pPr>
      <w:r>
        <w:rPr>
          <w:rFonts w:hint="eastAsia"/>
        </w:rPr>
        <w:t>文献作者是文句成分时，仅在括号中标出版年限。</w:t>
      </w:r>
    </w:p>
  </w:comment>
  <w:comment w:id="14" w:author="lenovo" w:date="2020-01-07T22:41:00Z" w:initials="l">
    <w:p w14:paraId="3B8E04D7">
      <w:pPr>
        <w:pStyle w:val="2"/>
      </w:pPr>
      <w:r>
        <w:rPr>
          <w:rFonts w:hint="eastAsia"/>
        </w:rPr>
        <w:t>正文中所有的英语用小5，Calibri(西文正文)。</w:t>
      </w:r>
    </w:p>
  </w:comment>
  <w:comment w:id="15" w:author="lenovo" w:date="2020-01-07T22:44:00Z" w:initials="l">
    <w:p w14:paraId="3DAD26E2">
      <w:pPr>
        <w:rPr>
          <w:rFonts w:ascii="宋体" w:hAnsi="宋体"/>
          <w:b/>
          <w:sz w:val="18"/>
        </w:rPr>
      </w:pPr>
      <w:r>
        <w:rPr>
          <w:rFonts w:hint="eastAsia" w:ascii="Calibri" w:hAnsi="Calibri" w:eastAsia="宋体" w:cs="Times New Roman"/>
          <w:b/>
          <w:sz w:val="18"/>
          <w:szCs w:val="18"/>
        </w:rPr>
        <w:t>空一行</w:t>
      </w:r>
      <w:r>
        <w:rPr>
          <w:rFonts w:hint="eastAsia" w:ascii="宋体" w:hAnsi="宋体"/>
          <w:b/>
          <w:sz w:val="18"/>
        </w:rPr>
        <w:t>（表格编号/题目在表格上方，小数点，空一格，图表名称，小五，不加粗，居中）</w:t>
      </w:r>
    </w:p>
  </w:comment>
  <w:comment w:id="16" w:author="lenovo" w:date="2020-01-07T22:45:00Z" w:initials="l">
    <w:p w14:paraId="66A11966">
      <w:pPr>
        <w:pStyle w:val="2"/>
      </w:pPr>
      <w:r>
        <w:rPr>
          <w:rFonts w:hint="eastAsia"/>
        </w:rPr>
        <w:t>全文的表格作为一个系列全文统一编码。</w:t>
      </w:r>
    </w:p>
  </w:comment>
  <w:comment w:id="17" w:author="lenovo" w:date="2020-01-07T22:46:00Z" w:initials="l">
    <w:p w14:paraId="2C8B5BAB">
      <w:pPr>
        <w:tabs>
          <w:tab w:val="left" w:pos="0"/>
        </w:tabs>
        <w:ind w:left="-2" w:leftChars="-1" w:firstLine="1"/>
        <w:rPr>
          <w:rFonts w:ascii="宋体" w:hAnsi="宋体" w:eastAsia="宋体" w:cs="Times New Roman"/>
          <w:b/>
          <w:bCs/>
          <w:sz w:val="18"/>
          <w:szCs w:val="18"/>
        </w:rPr>
      </w:pPr>
      <w:r>
        <w:rPr>
          <w:rFonts w:hint="eastAsia" w:ascii="Calibri" w:hAnsi="Calibri" w:eastAsia="宋体" w:cs="Times New Roman"/>
          <w:b/>
          <w:sz w:val="18"/>
          <w:szCs w:val="18"/>
        </w:rPr>
        <w:t>空一行继续正文</w:t>
      </w:r>
    </w:p>
  </w:comment>
  <w:comment w:id="18" w:author="lenovo" w:date="2020-01-07T22:47:00Z" w:initials="l">
    <w:p w14:paraId="361E1763">
      <w:pPr>
        <w:pStyle w:val="2"/>
      </w:pPr>
      <w:r>
        <w:rPr>
          <w:rFonts w:hint="eastAsia" w:ascii="宋体" w:hAnsi="宋体"/>
          <w:b/>
          <w:sz w:val="18"/>
        </w:rPr>
        <w:t>图表编号/题目在图的下方，小数点，空一格，图表名称，小五，不加粗，居中</w:t>
      </w:r>
    </w:p>
  </w:comment>
  <w:comment w:id="19" w:author="lenovo" w:date="2020-01-07T22:46:00Z" w:initials="l">
    <w:p w14:paraId="7BD51519">
      <w:pPr>
        <w:pStyle w:val="2"/>
      </w:pPr>
      <w:r>
        <w:rPr>
          <w:rFonts w:hint="eastAsia"/>
        </w:rPr>
        <w:t>各种图示全篇统一编码，图示名称在下方。</w:t>
      </w:r>
    </w:p>
  </w:comment>
  <w:comment w:id="20" w:author="lenovo" w:date="2020-01-07T22:47:00Z" w:initials="l">
    <w:p w14:paraId="57E95D08">
      <w:pPr>
        <w:pStyle w:val="2"/>
      </w:pPr>
      <w:r>
        <w:rPr>
          <w:rFonts w:hint="eastAsia" w:ascii="宋体" w:hAnsi="宋体"/>
          <w:sz w:val="18"/>
        </w:rPr>
        <w:t>继续正文</w:t>
      </w:r>
    </w:p>
  </w:comment>
  <w:comment w:id="21" w:author="lenovo" w:date="2020-01-07T22:49:00Z" w:initials="l">
    <w:p w14:paraId="22BA2FCD">
      <w:pPr>
        <w:pStyle w:val="2"/>
      </w:pPr>
      <w:r>
        <w:rPr>
          <w:rFonts w:hint="eastAsia" w:ascii="黑体" w:hAnsi="宋体" w:eastAsia="黑体"/>
          <w:b/>
          <w:szCs w:val="21"/>
        </w:rPr>
        <w:t>参考文献标题，五号，黑体，加粗，顶格</w:t>
      </w:r>
    </w:p>
  </w:comment>
  <w:comment w:id="22" w:author="lenovo" w:date="2020-01-07T23:06:00Z" w:initials="l">
    <w:p w14:paraId="27D21D94">
      <w:pPr>
        <w:pStyle w:val="2"/>
      </w:pPr>
      <w:r>
        <w:rPr>
          <w:rFonts w:hint="eastAsia"/>
        </w:rPr>
        <w:t>方括号标顺序，先英文后中文参考文献。均按姓氏首字母顺序排序。小5， Calibri.</w:t>
      </w:r>
    </w:p>
  </w:comment>
  <w:comment w:id="23" w:author="lenovo" w:date="2020-01-07T23:04:00Z" w:initials="l">
    <w:p w14:paraId="5FA777A8">
      <w:pPr>
        <w:pStyle w:val="2"/>
      </w:pPr>
      <w:r>
        <w:rPr>
          <w:rFonts w:hint="eastAsia"/>
        </w:rPr>
        <w:t>姓在前，加逗号，名用首字母加点“.”;作者间用逗号隔开，最后一个作者前加“&amp;”，最后加句点。</w:t>
      </w:r>
    </w:p>
  </w:comment>
  <w:comment w:id="24" w:author="lenovo" w:date="2020-01-07T23:05:00Z" w:initials="l">
    <w:p w14:paraId="7CC67794">
      <w:pPr>
        <w:pStyle w:val="2"/>
      </w:pPr>
      <w:r>
        <w:rPr>
          <w:rFonts w:hint="eastAsia"/>
        </w:rPr>
        <w:t>第二项为文章题目，后跟方括号标出文章来源，后面加句点。</w:t>
      </w:r>
    </w:p>
  </w:comment>
  <w:comment w:id="25" w:author="lenovo" w:date="2020-01-07T23:08:00Z" w:initials="l">
    <w:p w14:paraId="0F171032">
      <w:pPr>
        <w:pStyle w:val="2"/>
      </w:pPr>
      <w:r>
        <w:rPr>
          <w:rFonts w:hint="eastAsia"/>
        </w:rPr>
        <w:t>文章所载期刊名，斜体。期刊时间，编号，页码。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793469C" w15:done="0"/>
  <w15:commentEx w15:paraId="31666D1C" w15:done="0"/>
  <w15:commentEx w15:paraId="59277B44" w15:done="0"/>
  <w15:commentEx w15:paraId="41394DFA" w15:done="0"/>
  <w15:commentEx w15:paraId="3AEF3AC7" w15:done="0"/>
  <w15:commentEx w15:paraId="7CAE7FF1" w15:done="0"/>
  <w15:commentEx w15:paraId="3E160E9C" w15:done="0"/>
  <w15:commentEx w15:paraId="527F46C8" w15:done="0"/>
  <w15:commentEx w15:paraId="1C4A3C64" w15:done="0"/>
  <w15:commentEx w15:paraId="47D815CC" w15:done="0"/>
  <w15:commentEx w15:paraId="7328576F" w15:done="0"/>
  <w15:commentEx w15:paraId="4F664D72" w15:done="0"/>
  <w15:commentEx w15:paraId="73F40B82" w15:done="0"/>
  <w15:commentEx w15:paraId="16B27C3D" w15:done="0"/>
  <w15:commentEx w15:paraId="3B8E04D7" w15:done="0"/>
  <w15:commentEx w15:paraId="3DAD26E2" w15:done="0"/>
  <w15:commentEx w15:paraId="66A11966" w15:done="0"/>
  <w15:commentEx w15:paraId="2C8B5BAB" w15:done="0"/>
  <w15:commentEx w15:paraId="361E1763" w15:done="0"/>
  <w15:commentEx w15:paraId="7BD51519" w15:done="0"/>
  <w15:commentEx w15:paraId="57E95D08" w15:done="0"/>
  <w15:commentEx w15:paraId="22BA2FCD" w15:done="0"/>
  <w15:commentEx w15:paraId="27D21D94" w15:done="0"/>
  <w15:commentEx w15:paraId="5FA777A8" w15:done="0"/>
  <w15:commentEx w15:paraId="7CC67794" w15:done="0"/>
  <w15:commentEx w15:paraId="0F17103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$F$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3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ind w:left="1029" w:hanging="1029" w:hangingChars="490"/>
        <w:rPr>
          <w:rFonts w:asciiTheme="minorEastAsia" w:hAnsiTheme="minorEastAsia" w:cstheme="minorEastAsia"/>
          <w:color w:val="000000"/>
          <w:sz w:val="18"/>
          <w:szCs w:val="18"/>
        </w:rPr>
      </w:pPr>
      <w:r>
        <w:rPr>
          <w:rStyle w:val="12"/>
        </w:rPr>
        <w:footnoteRef/>
      </w:r>
      <w:r>
        <w:t xml:space="preserve"> </w:t>
      </w:r>
      <w:r>
        <w:rPr>
          <w:rFonts w:hint="eastAsia" w:asciiTheme="minorEastAsia" w:hAnsiTheme="minorEastAsia" w:cstheme="minorEastAsia"/>
          <w:color w:val="000000"/>
          <w:sz w:val="18"/>
          <w:szCs w:val="18"/>
        </w:rPr>
        <w:t>资助项目：1.北京林业大学2018年教育教学研究项目“公共英语教学与中国传统文化建设研究”（BJFU2018JY075）；2. 2015年中央高校基本科研业务费专项“本硕博英语一条龙教育体系研究”(2015ZCQ-WY-01)。</w:t>
      </w:r>
    </w:p>
    <w:p>
      <w:pPr>
        <w:pStyle w:val="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2D9E"/>
    <w:multiLevelType w:val="multilevel"/>
    <w:tmpl w:val="16BB2D9E"/>
    <w:lvl w:ilvl="0" w:tentative="0">
      <w:start w:val="1"/>
      <w:numFmt w:val="decimal"/>
      <w:lvlText w:val="[%1]"/>
      <w:lvlJc w:val="left"/>
      <w:pPr>
        <w:tabs>
          <w:tab w:val="left" w:pos="839"/>
        </w:tabs>
        <w:ind w:left="839" w:hanging="839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6AC78BD"/>
    <w:multiLevelType w:val="multilevel"/>
    <w:tmpl w:val="46AC78B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5AD"/>
    <w:rsid w:val="000575F7"/>
    <w:rsid w:val="00156BED"/>
    <w:rsid w:val="00172A27"/>
    <w:rsid w:val="001F315A"/>
    <w:rsid w:val="00227D38"/>
    <w:rsid w:val="00251BD0"/>
    <w:rsid w:val="00254E72"/>
    <w:rsid w:val="00296A4D"/>
    <w:rsid w:val="002A2E5C"/>
    <w:rsid w:val="002C006A"/>
    <w:rsid w:val="003970A0"/>
    <w:rsid w:val="00495A18"/>
    <w:rsid w:val="004F0FD0"/>
    <w:rsid w:val="00520E56"/>
    <w:rsid w:val="00533CF7"/>
    <w:rsid w:val="005A7F9F"/>
    <w:rsid w:val="006B49BD"/>
    <w:rsid w:val="006F2979"/>
    <w:rsid w:val="00795074"/>
    <w:rsid w:val="00851588"/>
    <w:rsid w:val="0086369C"/>
    <w:rsid w:val="008A5A2F"/>
    <w:rsid w:val="009350D9"/>
    <w:rsid w:val="00941896"/>
    <w:rsid w:val="00942791"/>
    <w:rsid w:val="009B5757"/>
    <w:rsid w:val="00A3293E"/>
    <w:rsid w:val="00AF049C"/>
    <w:rsid w:val="00AF3AB0"/>
    <w:rsid w:val="00B064D1"/>
    <w:rsid w:val="00B42BB9"/>
    <w:rsid w:val="00B97C95"/>
    <w:rsid w:val="00BB09FD"/>
    <w:rsid w:val="00BC41DD"/>
    <w:rsid w:val="00BE757F"/>
    <w:rsid w:val="00C058B0"/>
    <w:rsid w:val="00C140B6"/>
    <w:rsid w:val="00C329EE"/>
    <w:rsid w:val="00C578FC"/>
    <w:rsid w:val="00C77A25"/>
    <w:rsid w:val="00D3198C"/>
    <w:rsid w:val="00D3221B"/>
    <w:rsid w:val="00E8729B"/>
    <w:rsid w:val="00EC4A57"/>
    <w:rsid w:val="00F07142"/>
    <w:rsid w:val="00FE21E9"/>
    <w:rsid w:val="00FF4E1D"/>
    <w:rsid w:val="0100520F"/>
    <w:rsid w:val="01077968"/>
    <w:rsid w:val="01A13734"/>
    <w:rsid w:val="01C5753A"/>
    <w:rsid w:val="021553EB"/>
    <w:rsid w:val="022E6617"/>
    <w:rsid w:val="02991F69"/>
    <w:rsid w:val="037639AD"/>
    <w:rsid w:val="03CA2AF9"/>
    <w:rsid w:val="04895964"/>
    <w:rsid w:val="05D5272E"/>
    <w:rsid w:val="06CA537A"/>
    <w:rsid w:val="06FD6CFE"/>
    <w:rsid w:val="081C7C0D"/>
    <w:rsid w:val="08A86767"/>
    <w:rsid w:val="094A21F1"/>
    <w:rsid w:val="0995122B"/>
    <w:rsid w:val="09CA7E16"/>
    <w:rsid w:val="0A3E4B3D"/>
    <w:rsid w:val="0A9926CC"/>
    <w:rsid w:val="0AA56489"/>
    <w:rsid w:val="0B1F0CC9"/>
    <w:rsid w:val="0B811D6F"/>
    <w:rsid w:val="0C6353FA"/>
    <w:rsid w:val="0E0255EB"/>
    <w:rsid w:val="0E1A1B26"/>
    <w:rsid w:val="0E674D1F"/>
    <w:rsid w:val="0EBE4B54"/>
    <w:rsid w:val="1060460F"/>
    <w:rsid w:val="10637676"/>
    <w:rsid w:val="1092199C"/>
    <w:rsid w:val="1223525B"/>
    <w:rsid w:val="127D7284"/>
    <w:rsid w:val="12CA2D69"/>
    <w:rsid w:val="13946AC5"/>
    <w:rsid w:val="14F00313"/>
    <w:rsid w:val="151B1184"/>
    <w:rsid w:val="15415490"/>
    <w:rsid w:val="154B778A"/>
    <w:rsid w:val="15ED72D0"/>
    <w:rsid w:val="16834DD5"/>
    <w:rsid w:val="16BF781C"/>
    <w:rsid w:val="1836599E"/>
    <w:rsid w:val="18482F1A"/>
    <w:rsid w:val="195B6DC9"/>
    <w:rsid w:val="1A630DAA"/>
    <w:rsid w:val="1A8C5DE4"/>
    <w:rsid w:val="1A9436DF"/>
    <w:rsid w:val="1B160703"/>
    <w:rsid w:val="1B734126"/>
    <w:rsid w:val="1E284661"/>
    <w:rsid w:val="1EBD684A"/>
    <w:rsid w:val="1ECE52BE"/>
    <w:rsid w:val="1F291143"/>
    <w:rsid w:val="1F8D141D"/>
    <w:rsid w:val="20123B0A"/>
    <w:rsid w:val="20843D94"/>
    <w:rsid w:val="21275925"/>
    <w:rsid w:val="225E01A0"/>
    <w:rsid w:val="229B0468"/>
    <w:rsid w:val="244479E7"/>
    <w:rsid w:val="2516407C"/>
    <w:rsid w:val="25447CC8"/>
    <w:rsid w:val="264135D7"/>
    <w:rsid w:val="26B9600B"/>
    <w:rsid w:val="26EC71D5"/>
    <w:rsid w:val="286D0A19"/>
    <w:rsid w:val="28FD076E"/>
    <w:rsid w:val="298E78EC"/>
    <w:rsid w:val="2B143E59"/>
    <w:rsid w:val="2B545A5B"/>
    <w:rsid w:val="2C503FA6"/>
    <w:rsid w:val="2C8A0CE1"/>
    <w:rsid w:val="2D6A2031"/>
    <w:rsid w:val="2DE16B48"/>
    <w:rsid w:val="2DF01B5F"/>
    <w:rsid w:val="2F1F5D84"/>
    <w:rsid w:val="2F4D1E62"/>
    <w:rsid w:val="309C20E4"/>
    <w:rsid w:val="30A31870"/>
    <w:rsid w:val="30EA5032"/>
    <w:rsid w:val="317B0448"/>
    <w:rsid w:val="32202389"/>
    <w:rsid w:val="32505106"/>
    <w:rsid w:val="35515E1A"/>
    <w:rsid w:val="36DB6EA6"/>
    <w:rsid w:val="37893407"/>
    <w:rsid w:val="38635E79"/>
    <w:rsid w:val="386E2DD1"/>
    <w:rsid w:val="38D522E6"/>
    <w:rsid w:val="39FF0C28"/>
    <w:rsid w:val="3A6E62FB"/>
    <w:rsid w:val="3A7B53F7"/>
    <w:rsid w:val="3A9A406E"/>
    <w:rsid w:val="3AAE3B96"/>
    <w:rsid w:val="3AE56AD1"/>
    <w:rsid w:val="3B0470DC"/>
    <w:rsid w:val="3E19481C"/>
    <w:rsid w:val="3E475BE6"/>
    <w:rsid w:val="3E7E13A4"/>
    <w:rsid w:val="3EE074AA"/>
    <w:rsid w:val="3EEF37C2"/>
    <w:rsid w:val="3F09420C"/>
    <w:rsid w:val="3F6C5F8C"/>
    <w:rsid w:val="3F916455"/>
    <w:rsid w:val="40931843"/>
    <w:rsid w:val="415F0A82"/>
    <w:rsid w:val="42984390"/>
    <w:rsid w:val="42E00A65"/>
    <w:rsid w:val="43225755"/>
    <w:rsid w:val="43CC59A7"/>
    <w:rsid w:val="43FC7D67"/>
    <w:rsid w:val="445A64E9"/>
    <w:rsid w:val="44B26A46"/>
    <w:rsid w:val="46DF2FBA"/>
    <w:rsid w:val="471E7424"/>
    <w:rsid w:val="47423DB6"/>
    <w:rsid w:val="475D0BD5"/>
    <w:rsid w:val="482C3AFF"/>
    <w:rsid w:val="4855757D"/>
    <w:rsid w:val="487E2157"/>
    <w:rsid w:val="498B4FEF"/>
    <w:rsid w:val="49B75D1D"/>
    <w:rsid w:val="4A5B79E3"/>
    <w:rsid w:val="4A683726"/>
    <w:rsid w:val="4B291B64"/>
    <w:rsid w:val="4BD24B8E"/>
    <w:rsid w:val="4CA62951"/>
    <w:rsid w:val="4D251CF7"/>
    <w:rsid w:val="4E4509BC"/>
    <w:rsid w:val="4E830C85"/>
    <w:rsid w:val="4F223107"/>
    <w:rsid w:val="513A148F"/>
    <w:rsid w:val="523840B3"/>
    <w:rsid w:val="523D7984"/>
    <w:rsid w:val="52547A15"/>
    <w:rsid w:val="52B1711F"/>
    <w:rsid w:val="52DC3C91"/>
    <w:rsid w:val="52EF7A01"/>
    <w:rsid w:val="539E0665"/>
    <w:rsid w:val="53C949DB"/>
    <w:rsid w:val="540036CF"/>
    <w:rsid w:val="54385730"/>
    <w:rsid w:val="54ED7C92"/>
    <w:rsid w:val="55964972"/>
    <w:rsid w:val="55F66688"/>
    <w:rsid w:val="56482DE7"/>
    <w:rsid w:val="57155CF7"/>
    <w:rsid w:val="57B10892"/>
    <w:rsid w:val="58920268"/>
    <w:rsid w:val="58A65D99"/>
    <w:rsid w:val="5A2E46E5"/>
    <w:rsid w:val="5A2F5EFE"/>
    <w:rsid w:val="5CA2085B"/>
    <w:rsid w:val="5D6D703B"/>
    <w:rsid w:val="5E1C74B9"/>
    <w:rsid w:val="5E8A40A9"/>
    <w:rsid w:val="5EBD07D9"/>
    <w:rsid w:val="5EFD7065"/>
    <w:rsid w:val="60070AD4"/>
    <w:rsid w:val="602C112E"/>
    <w:rsid w:val="604326E9"/>
    <w:rsid w:val="61601692"/>
    <w:rsid w:val="61F30458"/>
    <w:rsid w:val="633B133E"/>
    <w:rsid w:val="633F239E"/>
    <w:rsid w:val="644318D1"/>
    <w:rsid w:val="65673A91"/>
    <w:rsid w:val="65A23DAF"/>
    <w:rsid w:val="6637413C"/>
    <w:rsid w:val="6699258F"/>
    <w:rsid w:val="66F94FFD"/>
    <w:rsid w:val="67083256"/>
    <w:rsid w:val="675165E8"/>
    <w:rsid w:val="68416997"/>
    <w:rsid w:val="68E542EF"/>
    <w:rsid w:val="6A0506FE"/>
    <w:rsid w:val="6B6E6EBC"/>
    <w:rsid w:val="6B834DD9"/>
    <w:rsid w:val="6BC36DF2"/>
    <w:rsid w:val="6C683234"/>
    <w:rsid w:val="6CB916D4"/>
    <w:rsid w:val="6CC61754"/>
    <w:rsid w:val="6CD91C01"/>
    <w:rsid w:val="6CE44A35"/>
    <w:rsid w:val="6D423EB1"/>
    <w:rsid w:val="6E2F3EB9"/>
    <w:rsid w:val="6F6B5181"/>
    <w:rsid w:val="6FC63420"/>
    <w:rsid w:val="717927ED"/>
    <w:rsid w:val="71811A8B"/>
    <w:rsid w:val="72663E63"/>
    <w:rsid w:val="726A5ACB"/>
    <w:rsid w:val="736E1C22"/>
    <w:rsid w:val="74A01C52"/>
    <w:rsid w:val="761D5AC1"/>
    <w:rsid w:val="76BC3C90"/>
    <w:rsid w:val="76CB4BE8"/>
    <w:rsid w:val="76FA3ECB"/>
    <w:rsid w:val="777940D0"/>
    <w:rsid w:val="780E5016"/>
    <w:rsid w:val="79BC7F6D"/>
    <w:rsid w:val="7A1615DB"/>
    <w:rsid w:val="7A434738"/>
    <w:rsid w:val="7A8149F4"/>
    <w:rsid w:val="7ABB6C6B"/>
    <w:rsid w:val="7B1868E2"/>
    <w:rsid w:val="7B8E5C45"/>
    <w:rsid w:val="7BB90F7E"/>
    <w:rsid w:val="7BD92452"/>
    <w:rsid w:val="7D2E6BD6"/>
    <w:rsid w:val="7E111235"/>
    <w:rsid w:val="7E600C4F"/>
    <w:rsid w:val="7E650B07"/>
    <w:rsid w:val="7E916C3A"/>
    <w:rsid w:val="7ECD463E"/>
    <w:rsid w:val="7F714388"/>
    <w:rsid w:val="7FED6B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footnote text"/>
    <w:basedOn w:val="1"/>
    <w:link w:val="18"/>
    <w:uiPriority w:val="0"/>
    <w:pPr>
      <w:snapToGrid w:val="0"/>
      <w:jc w:val="left"/>
    </w:pPr>
    <w:rPr>
      <w:sz w:val="18"/>
      <w:szCs w:val="18"/>
    </w:rPr>
  </w:style>
  <w:style w:type="paragraph" w:styleId="8">
    <w:name w:val="annotation subject"/>
    <w:basedOn w:val="2"/>
    <w:next w:val="2"/>
    <w:link w:val="16"/>
    <w:uiPriority w:val="0"/>
    <w:rPr>
      <w:b/>
      <w:bCs/>
    </w:rPr>
  </w:style>
  <w:style w:type="character" w:styleId="11">
    <w:name w:val="annotation reference"/>
    <w:basedOn w:val="10"/>
    <w:uiPriority w:val="0"/>
    <w:rPr>
      <w:sz w:val="21"/>
      <w:szCs w:val="21"/>
    </w:rPr>
  </w:style>
  <w:style w:type="character" w:styleId="12">
    <w:name w:val="footnote reference"/>
    <w:unhideWhenUsed/>
    <w:qFormat/>
    <w:uiPriority w:val="99"/>
    <w:rPr>
      <w:vertAlign w:val="superscript"/>
    </w:rPr>
  </w:style>
  <w:style w:type="character" w:customStyle="1" w:styleId="13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文字 Char"/>
    <w:basedOn w:val="10"/>
    <w:link w:val="2"/>
    <w:uiPriority w:val="0"/>
    <w:rPr>
      <w:kern w:val="2"/>
      <w:sz w:val="21"/>
      <w:szCs w:val="24"/>
    </w:rPr>
  </w:style>
  <w:style w:type="character" w:customStyle="1" w:styleId="16">
    <w:name w:val="批注主题 Char"/>
    <w:basedOn w:val="15"/>
    <w:link w:val="8"/>
    <w:uiPriority w:val="0"/>
    <w:rPr>
      <w:b/>
      <w:bCs/>
    </w:rPr>
  </w:style>
  <w:style w:type="character" w:customStyle="1" w:styleId="17">
    <w:name w:val="site-title"/>
    <w:basedOn w:val="10"/>
    <w:uiPriority w:val="0"/>
  </w:style>
  <w:style w:type="character" w:customStyle="1" w:styleId="18">
    <w:name w:val="脚注文本 Char"/>
    <w:basedOn w:val="10"/>
    <w:link w:val="7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922619047619047"/>
          <c:y val="0.0824175824175824"/>
          <c:w val="0.732142857142858"/>
          <c:h val="0.7417582417582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东部</c:v>
                </c:pt>
              </c:strCache>
            </c:strRef>
          </c:tx>
          <c:spPr>
            <a:solidFill>
              <a:srgbClr val="9999FF"/>
            </a:solidFill>
            <a:ln w="12676">
              <a:solidFill>
                <a:srgbClr val="000000"/>
              </a:solidFill>
              <a:prstDash val="solid"/>
            </a:ln>
          </c:spPr>
          <c:invertIfNegative val="0"/>
          <c:dLbls>
            <c:delete val="1"/>
          </c:dLbls>
          <c:cat>
            <c:strRef>
              <c:f>Sheet1!$B$1:$E$1</c:f>
              <c:strCache>
                <c:ptCount val="4"/>
                <c:pt idx="0">
                  <c:v>第一季度</c:v>
                </c:pt>
                <c:pt idx="1">
                  <c:v>第二季度</c:v>
                </c:pt>
                <c:pt idx="2">
                  <c:v>第三季度</c:v>
                </c:pt>
                <c:pt idx="3">
                  <c:v>第四季度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20.4</c:v>
                </c:pt>
                <c:pt idx="1">
                  <c:v>27.4</c:v>
                </c:pt>
                <c:pt idx="2">
                  <c:v>90</c:v>
                </c:pt>
                <c:pt idx="3">
                  <c:v>20.4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西部</c:v>
                </c:pt>
              </c:strCache>
            </c:strRef>
          </c:tx>
          <c:spPr>
            <a:solidFill>
              <a:srgbClr val="993366"/>
            </a:solidFill>
            <a:ln w="12676">
              <a:solidFill>
                <a:srgbClr val="000000"/>
              </a:solidFill>
              <a:prstDash val="solid"/>
            </a:ln>
          </c:spPr>
          <c:invertIfNegative val="0"/>
          <c:dLbls>
            <c:delete val="1"/>
          </c:dLbls>
          <c:cat>
            <c:strRef>
              <c:f>Sheet1!$B$1:$E$1</c:f>
              <c:strCache>
                <c:ptCount val="4"/>
                <c:pt idx="0">
                  <c:v>第一季度</c:v>
                </c:pt>
                <c:pt idx="1">
                  <c:v>第二季度</c:v>
                </c:pt>
                <c:pt idx="2">
                  <c:v>第三季度</c:v>
                </c:pt>
                <c:pt idx="3">
                  <c:v>第四季度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北部</c:v>
                </c:pt>
              </c:strCache>
            </c:strRef>
          </c:tx>
          <c:spPr>
            <a:solidFill>
              <a:srgbClr val="FFFFCC"/>
            </a:solidFill>
            <a:ln w="12676">
              <a:solidFill>
                <a:srgbClr val="000000"/>
              </a:solidFill>
              <a:prstDash val="solid"/>
            </a:ln>
          </c:spPr>
          <c:invertIfNegative val="0"/>
          <c:dLbls>
            <c:delete val="1"/>
          </c:dLbls>
          <c:cat>
            <c:strRef>
              <c:f>Sheet1!$B$1:$E$1</c:f>
              <c:strCache>
                <c:ptCount val="4"/>
                <c:pt idx="0">
                  <c:v>第一季度</c:v>
                </c:pt>
                <c:pt idx="1">
                  <c:v>第二季度</c:v>
                </c:pt>
                <c:pt idx="2">
                  <c:v>第三季度</c:v>
                </c:pt>
                <c:pt idx="3">
                  <c:v>第四季度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999808"/>
        <c:axId val="276976384"/>
      </c:barChart>
      <c:catAx>
        <c:axId val="15299980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69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276976384"/>
        <c:crosses val="autoZero"/>
        <c:auto val="1"/>
        <c:lblAlgn val="ctr"/>
        <c:lblOffset val="100"/>
        <c:tickLblSkip val="1"/>
        <c:noMultiLvlLbl val="0"/>
      </c:catAx>
      <c:valAx>
        <c:axId val="276976384"/>
        <c:scaling>
          <c:orientation val="minMax"/>
        </c:scaling>
        <c:delete val="0"/>
        <c:axPos val="l"/>
        <c:majorGridlines>
          <c:spPr>
            <a:ln w="3169" cap="flat" cmpd="sng" algn="ctr">
              <a:solidFill>
                <a:srgbClr val="000000"/>
              </a:solidFill>
              <a:prstDash val="solid"/>
              <a:round/>
            </a:ln>
          </c:spPr>
        </c:majorGridlines>
        <c:numFmt formatCode="General" sourceLinked="1"/>
        <c:majorTickMark val="in"/>
        <c:minorTickMark val="none"/>
        <c:tickLblPos val="nextTo"/>
        <c:spPr>
          <a:ln w="3169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152999808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  <a:effectLst/>
      </c:spPr>
    </c:plotArea>
    <c:legend>
      <c:legendPos val="r"/>
      <c:layout>
        <c:manualLayout>
          <c:xMode val="edge"/>
          <c:yMode val="edge"/>
          <c:x val="0.857142857142858"/>
          <c:y val="0.357142857142858"/>
          <c:w val="0.130952380952381"/>
          <c:h val="0.285714285714286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zh-CN" sz="825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</c:chart>
  <c:spPr>
    <a:noFill/>
    <a:ln w="6350" cap="flat" cmpd="sng" algn="ctr">
      <a:noFill/>
      <a:prstDash val="solid"/>
      <a:round/>
    </a:ln>
  </c:spPr>
  <c:txPr>
    <a:bodyPr/>
    <a:lstStyle/>
    <a:p>
      <a:pPr>
        <a:defRPr lang="zh-CN" sz="900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F61EAB-241A-4A1E-A021-4041EB4979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589</Words>
  <Characters>3362</Characters>
  <Lines>28</Lines>
  <Paragraphs>7</Paragraphs>
  <TotalTime>1</TotalTime>
  <ScaleCrop>false</ScaleCrop>
  <LinksUpToDate>false</LinksUpToDate>
  <CharactersWithSpaces>3944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2020-01-07T15:13:00Z</dcterms:created>
  <dc:creator>然婆</dc:creator>
  <cp:lastModifiedBy>史宝辉-北京林业大学</cp:lastModifiedBy>
  <dcterms:modified xsi:type="dcterms:W3CDTF">2021-02-02T08:59:29Z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RubyTemplateID" linkTarget="0">
    <vt:lpwstr>6</vt:lpwstr>
  </property>
</Properties>
</file>